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ascii="仿宋_GB2312" w:hAnsi="宋体" w:eastAsia="仿宋_GB2312" w:cs="宋体"/>
          <w:b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b/>
          <w:color w:val="000000"/>
          <w:sz w:val="32"/>
          <w:szCs w:val="32"/>
        </w:rPr>
        <w:t>附件1：</w:t>
      </w:r>
    </w:p>
    <w:p>
      <w:pPr>
        <w:widowControl/>
        <w:spacing w:after="156" w:afterLines="50" w:line="560" w:lineRule="exact"/>
        <w:jc w:val="center"/>
        <w:rPr>
          <w:rFonts w:hint="eastAsia" w:ascii="方正小标宋简体" w:hAnsi="黑体" w:eastAsia="方正小标宋简体" w:cs="宋体"/>
          <w:bCs/>
          <w:color w:val="000000"/>
          <w:sz w:val="44"/>
          <w:szCs w:val="44"/>
        </w:rPr>
      </w:pPr>
      <w:r>
        <w:rPr>
          <w:rFonts w:hint="eastAsia" w:ascii="方正小标宋简体" w:hAnsi="黑体" w:eastAsia="方正小标宋简体" w:cs="宋体"/>
          <w:bCs/>
          <w:color w:val="000000"/>
          <w:sz w:val="44"/>
          <w:szCs w:val="44"/>
        </w:rPr>
        <w:t>闽江学院教材质量评估登记表</w:t>
      </w:r>
    </w:p>
    <w:p>
      <w:pPr>
        <w:pStyle w:val="2"/>
        <w:snapToGrid w:val="0"/>
        <w:spacing w:before="0" w:beforeAutospacing="0" w:after="0" w:afterAutospacing="0"/>
        <w:jc w:val="center"/>
        <w:rPr>
          <w:rFonts w:hint="eastAsia"/>
          <w:b/>
          <w:bCs/>
          <w:color w:val="000000"/>
          <w:sz w:val="30"/>
          <w:szCs w:val="30"/>
        </w:rPr>
      </w:pPr>
    </w:p>
    <w:p>
      <w:pPr>
        <w:pStyle w:val="2"/>
        <w:snapToGrid w:val="0"/>
        <w:spacing w:before="0" w:beforeAutospacing="0" w:after="0" w:afterAutospacing="0" w:line="400" w:lineRule="exact"/>
        <w:jc w:val="both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 xml:space="preserve">    单位名称：</w:t>
      </w:r>
      <w:r>
        <w:rPr>
          <w:rFonts w:hint="eastAsia"/>
          <w:color w:val="000000"/>
          <w:sz w:val="18"/>
          <w:szCs w:val="18"/>
          <w:u w:val="single"/>
        </w:rPr>
        <w:t xml:space="preserve">                             </w:t>
      </w:r>
      <w:r>
        <w:rPr>
          <w:rFonts w:hint="eastAsia"/>
          <w:color w:val="000000"/>
          <w:sz w:val="18"/>
          <w:szCs w:val="18"/>
        </w:rPr>
        <w:t xml:space="preserve">                              使用学期：           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1195"/>
        <w:gridCol w:w="2793"/>
        <w:gridCol w:w="14"/>
        <w:gridCol w:w="1588"/>
        <w:gridCol w:w="976"/>
        <w:gridCol w:w="17"/>
        <w:gridCol w:w="965"/>
        <w:gridCol w:w="10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exact"/>
          <w:jc w:val="center"/>
        </w:trPr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课程名称</w:t>
            </w: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               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出版单位</w:t>
            </w:r>
          </w:p>
        </w:tc>
        <w:tc>
          <w:tcPr>
            <w:tcW w:w="1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exact"/>
          <w:jc w:val="center"/>
        </w:trPr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教材名称</w:t>
            </w: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cs="宋体"/>
                <w:bCs/>
                <w:color w:val="000000"/>
                <w:sz w:val="20"/>
                <w:szCs w:val="20"/>
              </w:rPr>
              <w:t>主编</w:t>
            </w:r>
          </w:p>
        </w:tc>
        <w:tc>
          <w:tcPr>
            <w:tcW w:w="1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both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   教材类型</w:t>
            </w: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                        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both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出版年月</w:t>
            </w:r>
          </w:p>
        </w:tc>
        <w:tc>
          <w:tcPr>
            <w:tcW w:w="1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适用年级</w:t>
            </w: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both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适用专业</w:t>
            </w:r>
          </w:p>
        </w:tc>
        <w:tc>
          <w:tcPr>
            <w:tcW w:w="1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4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both"/>
              <w:rPr>
                <w:rFonts w:hint="eastAsia"/>
                <w:b/>
                <w:bCs/>
                <w:color w:val="000000"/>
                <w:sz w:val="18"/>
                <w:szCs w:val="18"/>
              </w:rPr>
            </w:pPr>
          </w:p>
          <w:p>
            <w:pPr>
              <w:pStyle w:val="2"/>
              <w:spacing w:before="0" w:beforeAutospacing="0" w:after="0" w:afterAutospacing="0" w:line="300" w:lineRule="exact"/>
              <w:jc w:val="both"/>
              <w:rPr>
                <w:rFonts w:hint="eastAsia"/>
                <w:b/>
                <w:bCs/>
                <w:color w:val="000000"/>
                <w:sz w:val="18"/>
                <w:szCs w:val="18"/>
              </w:rPr>
            </w:pPr>
          </w:p>
          <w:p>
            <w:pPr>
              <w:pStyle w:val="2"/>
              <w:spacing w:before="0" w:beforeAutospacing="0" w:after="0" w:afterAutospacing="0" w:line="300" w:lineRule="exact"/>
              <w:jc w:val="both"/>
              <w:rPr>
                <w:rFonts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教材</w:t>
            </w:r>
          </w:p>
          <w:p>
            <w:pPr>
              <w:pStyle w:val="2"/>
              <w:spacing w:before="0" w:beforeAutospacing="0" w:after="0" w:afterAutospacing="0" w:line="300" w:lineRule="exact"/>
              <w:jc w:val="both"/>
              <w:rPr>
                <w:rFonts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选用人自查情况</w:t>
            </w:r>
          </w:p>
          <w:p>
            <w:pPr>
              <w:pStyle w:val="2"/>
              <w:spacing w:before="0" w:beforeAutospacing="0" w:after="0" w:afterAutospacing="0" w:line="300" w:lineRule="exact"/>
              <w:jc w:val="both"/>
              <w:rPr>
                <w:rFonts w:hint="eastAsia"/>
                <w:b/>
                <w:bCs/>
                <w:color w:val="000000"/>
                <w:sz w:val="18"/>
                <w:szCs w:val="18"/>
              </w:rPr>
            </w:pPr>
          </w:p>
          <w:p>
            <w:pPr>
              <w:pStyle w:val="2"/>
              <w:spacing w:before="0" w:beforeAutospacing="0" w:after="0" w:afterAutospacing="0" w:line="300" w:lineRule="exact"/>
              <w:jc w:val="both"/>
              <w:rPr>
                <w:rFonts w:hint="eastAsia"/>
                <w:b/>
                <w:bCs/>
                <w:color w:val="000000"/>
                <w:sz w:val="18"/>
                <w:szCs w:val="18"/>
              </w:rPr>
            </w:pPr>
          </w:p>
          <w:p>
            <w:pPr>
              <w:pStyle w:val="2"/>
              <w:spacing w:before="0" w:beforeAutospacing="0" w:after="0" w:afterAutospacing="0" w:line="300" w:lineRule="exact"/>
              <w:jc w:val="both"/>
              <w:rPr>
                <w:rFonts w:hint="eastAsia"/>
                <w:b/>
                <w:bCs/>
                <w:color w:val="000000"/>
                <w:sz w:val="18"/>
                <w:szCs w:val="18"/>
              </w:rPr>
            </w:pPr>
          </w:p>
          <w:p>
            <w:pPr>
              <w:pStyle w:val="2"/>
              <w:spacing w:before="0" w:beforeAutospacing="0" w:after="0" w:afterAutospacing="0" w:line="300" w:lineRule="exact"/>
              <w:jc w:val="both"/>
              <w:rPr>
                <w:rFonts w:hint="eastAsia"/>
                <w:b/>
                <w:bCs/>
                <w:color w:val="000000"/>
                <w:sz w:val="18"/>
                <w:szCs w:val="18"/>
              </w:rPr>
            </w:pPr>
          </w:p>
          <w:p>
            <w:pPr>
              <w:pStyle w:val="2"/>
              <w:spacing w:before="0" w:beforeAutospacing="0" w:after="0" w:afterAutospacing="0" w:line="300" w:lineRule="exact"/>
              <w:jc w:val="both"/>
              <w:rPr>
                <w:rFonts w:hint="eastAsia"/>
                <w:b/>
                <w:bCs/>
                <w:color w:val="000000"/>
                <w:sz w:val="18"/>
                <w:szCs w:val="18"/>
              </w:rPr>
            </w:pPr>
          </w:p>
          <w:p>
            <w:pPr>
              <w:pStyle w:val="2"/>
              <w:spacing w:before="0" w:beforeAutospacing="0" w:after="0" w:afterAutospacing="0" w:line="300" w:lineRule="exact"/>
              <w:jc w:val="both"/>
              <w:rPr>
                <w:rFonts w:hint="eastAsi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90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检查内容</w:t>
            </w:r>
          </w:p>
        </w:tc>
        <w:tc>
          <w:tcPr>
            <w:tcW w:w="299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评价结果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exac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both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55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both"/>
              <w:rPr>
                <w:rFonts w:hint="eastAsia" w:cs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1.教材内容坚持正确政治方向和舆论导向。</w:t>
            </w: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是</w:t>
            </w:r>
            <w:r>
              <w:rPr>
                <w:rFonts w:hint="eastAsia" w:cs="宋体"/>
                <w:color w:val="000000"/>
                <w:sz w:val="18"/>
                <w:szCs w:val="18"/>
              </w:rPr>
              <w:t>□</w:t>
            </w: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一般</w:t>
            </w:r>
            <w:r>
              <w:rPr>
                <w:rFonts w:hint="eastAsia" w:cs="宋体"/>
                <w:color w:val="000000"/>
                <w:sz w:val="18"/>
                <w:szCs w:val="18"/>
              </w:rPr>
              <w:t>□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否</w:t>
            </w:r>
            <w:r>
              <w:rPr>
                <w:rFonts w:hint="eastAsia" w:cs="宋体"/>
                <w:color w:val="000000"/>
                <w:sz w:val="18"/>
                <w:szCs w:val="18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exac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both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55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both"/>
              <w:rPr>
                <w:rFonts w:hint="eastAsia" w:cs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2.教材内容</w:t>
            </w:r>
            <w:r>
              <w:rPr>
                <w:rFonts w:hint="eastAsia" w:cs="宋体"/>
                <w:color w:val="000000"/>
                <w:spacing w:val="6"/>
                <w:sz w:val="18"/>
                <w:szCs w:val="18"/>
              </w:rPr>
              <w:t>符合人才培养目标及本课程教学大纲的要求。</w:t>
            </w: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是</w:t>
            </w:r>
            <w:r>
              <w:rPr>
                <w:rFonts w:hint="eastAsia" w:cs="宋体"/>
                <w:color w:val="000000"/>
                <w:sz w:val="18"/>
                <w:szCs w:val="18"/>
              </w:rPr>
              <w:t>□</w:t>
            </w: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一般</w:t>
            </w:r>
            <w:r>
              <w:rPr>
                <w:rFonts w:hint="eastAsia" w:cs="宋体"/>
                <w:color w:val="000000"/>
                <w:sz w:val="18"/>
                <w:szCs w:val="18"/>
              </w:rPr>
              <w:t>□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否</w:t>
            </w:r>
            <w:r>
              <w:rPr>
                <w:rFonts w:hint="eastAsia" w:cs="宋体"/>
                <w:color w:val="000000"/>
                <w:sz w:val="18"/>
                <w:szCs w:val="18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exac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both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55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both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pacing w:val="6"/>
                <w:sz w:val="18"/>
                <w:szCs w:val="18"/>
              </w:rPr>
              <w:t>3.教材结构严谨、取材合适、深度适宜、份量恰当。</w:t>
            </w: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是</w:t>
            </w:r>
            <w:r>
              <w:rPr>
                <w:rFonts w:hint="eastAsia" w:cs="宋体"/>
                <w:color w:val="000000"/>
                <w:sz w:val="18"/>
                <w:szCs w:val="18"/>
              </w:rPr>
              <w:t>□</w:t>
            </w: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一般</w:t>
            </w:r>
            <w:r>
              <w:rPr>
                <w:rFonts w:hint="eastAsia" w:cs="宋体"/>
                <w:color w:val="000000"/>
                <w:sz w:val="18"/>
                <w:szCs w:val="18"/>
              </w:rPr>
              <w:t>□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否</w:t>
            </w:r>
            <w:r>
              <w:rPr>
                <w:rFonts w:hint="eastAsia" w:cs="宋体"/>
                <w:color w:val="000000"/>
                <w:sz w:val="18"/>
                <w:szCs w:val="18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exac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both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55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4.教材与其他教材相比具有代表性。</w:t>
            </w: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是</w:t>
            </w:r>
            <w:r>
              <w:rPr>
                <w:rFonts w:hint="eastAsia" w:cs="宋体"/>
                <w:color w:val="000000"/>
                <w:sz w:val="18"/>
                <w:szCs w:val="18"/>
              </w:rPr>
              <w:t>□</w:t>
            </w: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一般</w:t>
            </w:r>
            <w:r>
              <w:rPr>
                <w:rFonts w:hint="eastAsia" w:cs="宋体"/>
                <w:color w:val="000000"/>
                <w:sz w:val="18"/>
                <w:szCs w:val="18"/>
              </w:rPr>
              <w:t>□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否</w:t>
            </w:r>
            <w:r>
              <w:rPr>
                <w:rFonts w:hint="eastAsia" w:cs="宋体"/>
                <w:color w:val="000000"/>
                <w:sz w:val="18"/>
                <w:szCs w:val="18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exac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both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55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5.教材出版年份较新（近三年出版），新颖度高。</w:t>
            </w: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是</w:t>
            </w:r>
            <w:r>
              <w:rPr>
                <w:rFonts w:hint="eastAsia" w:cs="宋体"/>
                <w:color w:val="000000"/>
                <w:sz w:val="18"/>
                <w:szCs w:val="18"/>
              </w:rPr>
              <w:t>□</w:t>
            </w: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一般</w:t>
            </w:r>
            <w:r>
              <w:rPr>
                <w:rFonts w:hint="eastAsia" w:cs="宋体"/>
                <w:color w:val="000000"/>
                <w:sz w:val="18"/>
                <w:szCs w:val="18"/>
              </w:rPr>
              <w:t>□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否</w:t>
            </w:r>
            <w:r>
              <w:rPr>
                <w:rFonts w:hint="eastAsia" w:cs="宋体"/>
                <w:color w:val="000000"/>
                <w:sz w:val="18"/>
                <w:szCs w:val="18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exac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both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55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6.教材中的案例、情景有针对性、实际性和启发性。</w:t>
            </w: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是</w:t>
            </w:r>
            <w:r>
              <w:rPr>
                <w:rFonts w:hint="eastAsia" w:cs="宋体"/>
                <w:color w:val="000000"/>
                <w:sz w:val="18"/>
                <w:szCs w:val="18"/>
              </w:rPr>
              <w:t>□</w:t>
            </w: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一般</w:t>
            </w:r>
            <w:r>
              <w:rPr>
                <w:rFonts w:hint="eastAsia" w:cs="宋体"/>
                <w:color w:val="000000"/>
                <w:sz w:val="18"/>
                <w:szCs w:val="18"/>
              </w:rPr>
              <w:t>□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否</w:t>
            </w:r>
            <w:r>
              <w:rPr>
                <w:rFonts w:hint="eastAsia" w:cs="宋体"/>
                <w:color w:val="000000"/>
                <w:sz w:val="18"/>
                <w:szCs w:val="18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exac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both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55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220" w:lineRule="exact"/>
              <w:jc w:val="both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7.教材</w:t>
            </w:r>
            <w:r>
              <w:rPr>
                <w:rFonts w:hint="eastAsia" w:cs="宋体"/>
                <w:color w:val="000000"/>
                <w:sz w:val="18"/>
                <w:szCs w:val="18"/>
              </w:rPr>
              <w:t>能反映本学科</w:t>
            </w:r>
            <w:r>
              <w:rPr>
                <w:rFonts w:hint="eastAsia" w:cs="宋体"/>
                <w:color w:val="000000"/>
                <w:spacing w:val="6"/>
                <w:sz w:val="18"/>
                <w:szCs w:val="18"/>
              </w:rPr>
              <w:t>国内外科学研究的新成果。</w:t>
            </w: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是</w:t>
            </w:r>
            <w:r>
              <w:rPr>
                <w:rFonts w:hint="eastAsia" w:cs="宋体"/>
                <w:color w:val="000000"/>
                <w:sz w:val="18"/>
                <w:szCs w:val="18"/>
              </w:rPr>
              <w:t>□</w:t>
            </w: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一般</w:t>
            </w:r>
            <w:r>
              <w:rPr>
                <w:rFonts w:hint="eastAsia" w:cs="宋体"/>
                <w:color w:val="000000"/>
                <w:sz w:val="18"/>
                <w:szCs w:val="18"/>
              </w:rPr>
              <w:t>□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否</w:t>
            </w:r>
            <w:r>
              <w:rPr>
                <w:rFonts w:hint="eastAsia" w:cs="宋体"/>
                <w:color w:val="000000"/>
                <w:sz w:val="18"/>
                <w:szCs w:val="18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exac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both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400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总体评价（教材是否适用)</w:t>
            </w:r>
          </w:p>
        </w:tc>
        <w:tc>
          <w:tcPr>
            <w:tcW w:w="15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1.适用□</w:t>
            </w:r>
          </w:p>
        </w:tc>
        <w:tc>
          <w:tcPr>
            <w:tcW w:w="2992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2.不适用,建议另选教材□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9" w:hRule="exac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both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858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both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教材选用人意见：                   </w:t>
            </w:r>
          </w:p>
          <w:p>
            <w:pPr>
              <w:pStyle w:val="2"/>
              <w:spacing w:before="0" w:beforeAutospacing="0" w:after="0" w:afterAutospacing="0" w:line="300" w:lineRule="exact"/>
              <w:jc w:val="both"/>
              <w:rPr>
                <w:rFonts w:hint="eastAsia"/>
                <w:color w:val="000000"/>
                <w:sz w:val="18"/>
                <w:szCs w:val="18"/>
              </w:rPr>
            </w:pPr>
          </w:p>
          <w:p>
            <w:pPr>
              <w:pStyle w:val="2"/>
              <w:spacing w:before="0" w:beforeAutospacing="0" w:after="0" w:afterAutospacing="0" w:line="300" w:lineRule="exact"/>
              <w:jc w:val="both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                                  </w:t>
            </w:r>
          </w:p>
          <w:p>
            <w:pPr>
              <w:pStyle w:val="2"/>
              <w:spacing w:before="0" w:beforeAutospacing="0" w:after="0" w:afterAutospacing="0" w:line="300" w:lineRule="exact"/>
              <w:jc w:val="both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                                 选用人签字：</w:t>
            </w:r>
          </w:p>
          <w:p>
            <w:pPr>
              <w:pStyle w:val="2"/>
              <w:spacing w:before="0" w:beforeAutospacing="0" w:after="0" w:afterAutospacing="0" w:line="300" w:lineRule="exact"/>
              <w:jc w:val="both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               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4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before="0" w:beforeAutospacing="0" w:after="0" w:afterAutospacing="0" w:line="300" w:lineRule="exact"/>
              <w:jc w:val="both"/>
              <w:rPr>
                <w:rFonts w:hint="eastAsia"/>
                <w:color w:val="000000"/>
                <w:sz w:val="18"/>
                <w:szCs w:val="18"/>
              </w:rPr>
            </w:pPr>
          </w:p>
          <w:p>
            <w:pPr>
              <w:pStyle w:val="2"/>
              <w:spacing w:before="0" w:beforeAutospacing="0" w:after="0" w:afterAutospacing="0" w:line="300" w:lineRule="exact"/>
              <w:jc w:val="both"/>
              <w:rPr>
                <w:rFonts w:hint="eastAsia"/>
                <w:color w:val="000000"/>
                <w:sz w:val="18"/>
                <w:szCs w:val="18"/>
              </w:rPr>
            </w:pPr>
          </w:p>
          <w:p>
            <w:pPr>
              <w:pStyle w:val="2"/>
              <w:tabs>
                <w:tab w:val="left" w:pos="5058"/>
                <w:tab w:val="left" w:pos="5298"/>
              </w:tabs>
              <w:spacing w:before="0" w:beforeAutospacing="0" w:after="0" w:afterAutospacing="0" w:line="300" w:lineRule="exact"/>
              <w:jc w:val="both"/>
              <w:rPr>
                <w:rFonts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                                                      </w:t>
            </w: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教材检查工作小组检查情况</w:t>
            </w:r>
          </w:p>
          <w:p>
            <w:pPr>
              <w:pStyle w:val="2"/>
              <w:tabs>
                <w:tab w:val="left" w:pos="5058"/>
                <w:tab w:val="left" w:pos="5298"/>
              </w:tabs>
              <w:spacing w:before="0" w:beforeAutospacing="0" w:after="0" w:afterAutospacing="0" w:line="300" w:lineRule="exact"/>
              <w:jc w:val="both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                                                     </w:t>
            </w:r>
          </w:p>
          <w:p>
            <w:pPr>
              <w:pStyle w:val="2"/>
              <w:tabs>
                <w:tab w:val="left" w:pos="5058"/>
                <w:tab w:val="left" w:pos="5298"/>
              </w:tabs>
              <w:spacing w:before="0" w:beforeAutospacing="0" w:after="0" w:afterAutospacing="0" w:line="300" w:lineRule="exact"/>
              <w:jc w:val="both"/>
              <w:rPr>
                <w:rFonts w:hint="eastAsia"/>
                <w:color w:val="000000"/>
                <w:sz w:val="18"/>
                <w:szCs w:val="18"/>
              </w:rPr>
            </w:pPr>
          </w:p>
          <w:p>
            <w:pPr>
              <w:pStyle w:val="2"/>
              <w:spacing w:before="0" w:beforeAutospacing="0" w:after="0" w:afterAutospacing="0" w:line="300" w:lineRule="exact"/>
              <w:jc w:val="both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</w:t>
            </w:r>
          </w:p>
        </w:tc>
        <w:tc>
          <w:tcPr>
            <w:tcW w:w="55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检查内容</w:t>
            </w:r>
          </w:p>
        </w:tc>
        <w:tc>
          <w:tcPr>
            <w:tcW w:w="29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评价结果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exac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before="0" w:beforeAutospacing="0" w:after="0" w:afterAutospacing="0" w:line="300" w:lineRule="exact"/>
              <w:jc w:val="both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55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both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1.教材内容正确政治方向和舆论导向。</w:t>
            </w: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是</w:t>
            </w:r>
            <w:r>
              <w:rPr>
                <w:rFonts w:hint="eastAsia" w:cs="宋体"/>
                <w:color w:val="000000"/>
                <w:sz w:val="18"/>
                <w:szCs w:val="18"/>
              </w:rPr>
              <w:t>□</w:t>
            </w: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一般</w:t>
            </w:r>
            <w:r>
              <w:rPr>
                <w:rFonts w:hint="eastAsia" w:cs="宋体"/>
                <w:color w:val="000000"/>
                <w:sz w:val="18"/>
                <w:szCs w:val="18"/>
              </w:rPr>
              <w:t>□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否</w:t>
            </w:r>
            <w:r>
              <w:rPr>
                <w:rFonts w:hint="eastAsia" w:cs="宋体"/>
                <w:color w:val="000000"/>
                <w:sz w:val="18"/>
                <w:szCs w:val="18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exac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before="0" w:beforeAutospacing="0" w:after="0" w:afterAutospacing="0" w:line="300" w:lineRule="exact"/>
              <w:jc w:val="both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55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both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2.教材内容</w:t>
            </w:r>
            <w:r>
              <w:rPr>
                <w:rFonts w:hint="eastAsia" w:cs="宋体"/>
                <w:color w:val="000000"/>
                <w:spacing w:val="6"/>
                <w:sz w:val="18"/>
                <w:szCs w:val="18"/>
              </w:rPr>
              <w:t>符合人才培养目标及本课程教学大纲的要求。</w:t>
            </w: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是</w:t>
            </w:r>
            <w:r>
              <w:rPr>
                <w:rFonts w:hint="eastAsia" w:cs="宋体"/>
                <w:color w:val="000000"/>
                <w:sz w:val="18"/>
                <w:szCs w:val="18"/>
              </w:rPr>
              <w:t>□</w:t>
            </w: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一般</w:t>
            </w:r>
            <w:r>
              <w:rPr>
                <w:rFonts w:hint="eastAsia" w:cs="宋体"/>
                <w:color w:val="000000"/>
                <w:sz w:val="18"/>
                <w:szCs w:val="18"/>
              </w:rPr>
              <w:t>□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否</w:t>
            </w:r>
            <w:r>
              <w:rPr>
                <w:rFonts w:hint="eastAsia" w:cs="宋体"/>
                <w:color w:val="000000"/>
                <w:sz w:val="18"/>
                <w:szCs w:val="18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exac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before="0" w:beforeAutospacing="0" w:after="0" w:afterAutospacing="0" w:line="300" w:lineRule="exact"/>
              <w:jc w:val="both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55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both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pacing w:val="6"/>
                <w:sz w:val="18"/>
                <w:szCs w:val="18"/>
              </w:rPr>
              <w:t>3.教材结构严谨、取材合适、深度适宜、份量恰当。</w:t>
            </w: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是</w:t>
            </w:r>
            <w:r>
              <w:rPr>
                <w:rFonts w:hint="eastAsia" w:cs="宋体"/>
                <w:color w:val="000000"/>
                <w:sz w:val="18"/>
                <w:szCs w:val="18"/>
              </w:rPr>
              <w:t>□</w:t>
            </w: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一般</w:t>
            </w:r>
            <w:r>
              <w:rPr>
                <w:rFonts w:hint="eastAsia" w:cs="宋体"/>
                <w:color w:val="000000"/>
                <w:sz w:val="18"/>
                <w:szCs w:val="18"/>
              </w:rPr>
              <w:t>□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否</w:t>
            </w:r>
            <w:r>
              <w:rPr>
                <w:rFonts w:hint="eastAsia" w:cs="宋体"/>
                <w:color w:val="000000"/>
                <w:sz w:val="18"/>
                <w:szCs w:val="18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exac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before="0" w:beforeAutospacing="0" w:after="0" w:afterAutospacing="0" w:line="300" w:lineRule="exact"/>
              <w:jc w:val="both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55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4.教材与其他教材相比具有代表性。</w:t>
            </w: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是</w:t>
            </w:r>
            <w:r>
              <w:rPr>
                <w:rFonts w:hint="eastAsia" w:cs="宋体"/>
                <w:color w:val="000000"/>
                <w:sz w:val="18"/>
                <w:szCs w:val="18"/>
              </w:rPr>
              <w:t>□</w:t>
            </w: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一般</w:t>
            </w:r>
            <w:r>
              <w:rPr>
                <w:rFonts w:hint="eastAsia" w:cs="宋体"/>
                <w:color w:val="000000"/>
                <w:sz w:val="18"/>
                <w:szCs w:val="18"/>
              </w:rPr>
              <w:t>□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否</w:t>
            </w:r>
            <w:r>
              <w:rPr>
                <w:rFonts w:hint="eastAsia" w:cs="宋体"/>
                <w:color w:val="000000"/>
                <w:sz w:val="18"/>
                <w:szCs w:val="18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exac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before="0" w:beforeAutospacing="0" w:after="0" w:afterAutospacing="0" w:line="300" w:lineRule="exact"/>
              <w:jc w:val="both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55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5.教材出版年份较新（近三年出版），新颖度高。</w:t>
            </w: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是</w:t>
            </w:r>
            <w:r>
              <w:rPr>
                <w:rFonts w:hint="eastAsia" w:cs="宋体"/>
                <w:color w:val="000000"/>
                <w:sz w:val="18"/>
                <w:szCs w:val="18"/>
              </w:rPr>
              <w:t>□</w:t>
            </w: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一般</w:t>
            </w:r>
            <w:r>
              <w:rPr>
                <w:rFonts w:hint="eastAsia" w:cs="宋体"/>
                <w:color w:val="000000"/>
                <w:sz w:val="18"/>
                <w:szCs w:val="18"/>
              </w:rPr>
              <w:t>□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否</w:t>
            </w:r>
            <w:r>
              <w:rPr>
                <w:rFonts w:hint="eastAsia" w:cs="宋体"/>
                <w:color w:val="000000"/>
                <w:sz w:val="18"/>
                <w:szCs w:val="18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exac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before="0" w:beforeAutospacing="0" w:after="0" w:afterAutospacing="0" w:line="300" w:lineRule="exact"/>
              <w:jc w:val="both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55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6.教材中的案例、情景有针对性、实际性和启发性。</w:t>
            </w: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是</w:t>
            </w:r>
            <w:r>
              <w:rPr>
                <w:rFonts w:hint="eastAsia" w:cs="宋体"/>
                <w:color w:val="000000"/>
                <w:sz w:val="18"/>
                <w:szCs w:val="18"/>
              </w:rPr>
              <w:t>□</w:t>
            </w: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一般</w:t>
            </w:r>
            <w:r>
              <w:rPr>
                <w:rFonts w:hint="eastAsia" w:cs="宋体"/>
                <w:color w:val="000000"/>
                <w:sz w:val="18"/>
                <w:szCs w:val="18"/>
              </w:rPr>
              <w:t>□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否</w:t>
            </w:r>
            <w:r>
              <w:rPr>
                <w:rFonts w:hint="eastAsia" w:cs="宋体"/>
                <w:color w:val="000000"/>
                <w:sz w:val="18"/>
                <w:szCs w:val="18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exac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before="0" w:beforeAutospacing="0" w:after="0" w:afterAutospacing="0" w:line="300" w:lineRule="exact"/>
              <w:jc w:val="both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55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220" w:lineRule="exact"/>
              <w:jc w:val="both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7.教材</w:t>
            </w:r>
            <w:r>
              <w:rPr>
                <w:rFonts w:hint="eastAsia" w:cs="宋体"/>
                <w:color w:val="000000"/>
                <w:sz w:val="18"/>
                <w:szCs w:val="18"/>
              </w:rPr>
              <w:t>能反映本学科</w:t>
            </w:r>
            <w:r>
              <w:rPr>
                <w:rFonts w:hint="eastAsia" w:cs="宋体"/>
                <w:color w:val="000000"/>
                <w:spacing w:val="6"/>
                <w:sz w:val="18"/>
                <w:szCs w:val="18"/>
              </w:rPr>
              <w:t>国内外科学研究的新成果。</w:t>
            </w: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是</w:t>
            </w:r>
            <w:r>
              <w:rPr>
                <w:rFonts w:hint="eastAsia" w:cs="宋体"/>
                <w:color w:val="000000"/>
                <w:sz w:val="18"/>
                <w:szCs w:val="18"/>
              </w:rPr>
              <w:t>□</w:t>
            </w: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一般</w:t>
            </w:r>
            <w:r>
              <w:rPr>
                <w:rFonts w:hint="eastAsia" w:cs="宋体"/>
                <w:color w:val="000000"/>
                <w:sz w:val="18"/>
                <w:szCs w:val="18"/>
              </w:rPr>
              <w:t>□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否</w:t>
            </w:r>
            <w:r>
              <w:rPr>
                <w:rFonts w:hint="eastAsia" w:cs="宋体"/>
                <w:color w:val="000000"/>
                <w:sz w:val="18"/>
                <w:szCs w:val="18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exac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before="0" w:beforeAutospacing="0" w:after="0" w:afterAutospacing="0" w:line="300" w:lineRule="exact"/>
              <w:jc w:val="both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3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220" w:lineRule="exact"/>
              <w:jc w:val="both"/>
              <w:rPr>
                <w:rFonts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总体评价（教材是否适用）</w:t>
            </w:r>
          </w:p>
        </w:tc>
        <w:tc>
          <w:tcPr>
            <w:tcW w:w="16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22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1.适用□</w:t>
            </w:r>
          </w:p>
        </w:tc>
        <w:tc>
          <w:tcPr>
            <w:tcW w:w="29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2.不适用,建议另选教材□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9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before="0" w:beforeAutospacing="0" w:after="0" w:afterAutospacing="0" w:line="300" w:lineRule="exact"/>
              <w:jc w:val="both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858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before="0" w:beforeAutospacing="0" w:after="0" w:afterAutospacing="0" w:line="300" w:lineRule="exact"/>
              <w:jc w:val="both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其他改进建议：</w:t>
            </w:r>
          </w:p>
          <w:p>
            <w:pPr>
              <w:pStyle w:val="2"/>
              <w:tabs>
                <w:tab w:val="left" w:pos="5058"/>
                <w:tab w:val="left" w:pos="5298"/>
              </w:tabs>
              <w:spacing w:before="0" w:beforeAutospacing="0" w:after="0" w:afterAutospacing="0" w:line="300" w:lineRule="exact"/>
              <w:jc w:val="both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                                                                </w:t>
            </w:r>
          </w:p>
          <w:p>
            <w:pPr>
              <w:pStyle w:val="2"/>
              <w:tabs>
                <w:tab w:val="left" w:pos="5058"/>
                <w:tab w:val="left" w:pos="5298"/>
              </w:tabs>
              <w:spacing w:before="0" w:beforeAutospacing="0" w:after="0" w:afterAutospacing="0" w:line="300" w:lineRule="exact"/>
              <w:jc w:val="both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                                                                  </w:t>
            </w:r>
          </w:p>
          <w:p>
            <w:pPr>
              <w:pStyle w:val="2"/>
              <w:tabs>
                <w:tab w:val="left" w:pos="5058"/>
                <w:tab w:val="left" w:pos="5298"/>
              </w:tabs>
              <w:spacing w:before="0" w:beforeAutospacing="0" w:after="0" w:afterAutospacing="0" w:line="300" w:lineRule="exact"/>
              <w:jc w:val="both"/>
              <w:rPr>
                <w:rFonts w:hint="eastAsia"/>
                <w:color w:val="000000"/>
                <w:sz w:val="18"/>
                <w:szCs w:val="18"/>
              </w:rPr>
            </w:pPr>
          </w:p>
          <w:p>
            <w:pPr>
              <w:pStyle w:val="2"/>
              <w:tabs>
                <w:tab w:val="left" w:pos="5058"/>
                <w:tab w:val="left" w:pos="5298"/>
              </w:tabs>
              <w:spacing w:before="0" w:beforeAutospacing="0" w:after="0" w:afterAutospacing="0" w:line="300" w:lineRule="exact"/>
              <w:jc w:val="both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                              教材检查工作小组签字：</w:t>
            </w:r>
          </w:p>
          <w:p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                                                                      年   月   日</w:t>
            </w:r>
          </w:p>
        </w:tc>
      </w:tr>
    </w:tbl>
    <w:p>
      <w:pPr>
        <w:ind w:firstLine="360" w:firstLineChars="200"/>
        <w:rPr>
          <w:rFonts w:ascii="宋体" w:hAnsi="宋体"/>
          <w:color w:val="000000"/>
          <w:sz w:val="18"/>
          <w:szCs w:val="18"/>
        </w:rPr>
        <w:sectPr>
          <w:pgSz w:w="11906" w:h="16838"/>
          <w:pgMar w:top="567" w:right="1134" w:bottom="567" w:left="1134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/>
          <w:color w:val="000000"/>
          <w:sz w:val="18"/>
          <w:szCs w:val="18"/>
        </w:rPr>
        <w:t>说明：1.教材类型：填写教材封面上的教材类型或获奖情况（如“十三五”国家级规划教材、教育部推荐使用教材、面向21世纪课程教材等），无教材类型可不填写。2.相同课程相同教材只填写一份登记表。3.同一门课程使用多本教材的，需填写多份登记表。4.检查结束后，本表由所在单位收集汇总，左上角加盖公章，统一上交教务处教材科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911F2B"/>
    <w:rsid w:val="6A911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2021-12-08T11:49:00Z</dcterms:created>
  <dc:creator>陈婷</dc:creator>
  <cp:lastModifiedBy>陈婷</cp:lastModifiedBy>
  <dcterms:modified xsi:type="dcterms:W3CDTF">2021-12-08T11:50:34Z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