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F3E14">
      <w:pPr>
        <w:widowControl/>
        <w:jc w:val="left"/>
        <w:rPr>
          <w:rFonts w:hint="eastAsia" w:ascii="黑体" w:hAnsi="黑体" w:eastAsia="黑体"/>
          <w:sz w:val="32"/>
          <w:szCs w:val="32"/>
        </w:rPr>
      </w:pPr>
      <w:bookmarkStart w:id="10" w:name="_GoBack"/>
      <w:bookmarkEnd w:id="10"/>
      <w:bookmarkStart w:id="0" w:name="PO_Content"/>
      <w:r>
        <w:rPr>
          <w:rFonts w:hint="eastAsia" w:ascii="黑体" w:hAnsi="黑体" w:eastAsia="黑体"/>
          <w:sz w:val="32"/>
          <w:szCs w:val="32"/>
        </w:rPr>
        <w:t>附件2</w:t>
      </w:r>
    </w:p>
    <w:p w14:paraId="0DC5617C">
      <w:pPr>
        <w:widowControl/>
        <w:autoSpaceDE w:val="0"/>
        <w:spacing w:after="156" w:afterLines="50"/>
        <w:jc w:val="center"/>
        <w:rPr>
          <w:rFonts w:hint="eastAsia" w:ascii="方正小标宋简体" w:hAnsi="Calibri" w:eastAsia="方正小标宋简体"/>
          <w:sz w:val="44"/>
          <w:szCs w:val="44"/>
        </w:rPr>
      </w:pPr>
      <w:r>
        <w:rPr>
          <w:rFonts w:hint="eastAsia" w:ascii="方正小标宋简体" w:hAnsi="Calibri" w:eastAsia="方正小标宋简体"/>
          <w:sz w:val="44"/>
          <w:szCs w:val="44"/>
        </w:rPr>
        <w:t>闽江学院本科数字教材建设立项申报汇总表</w:t>
      </w:r>
    </w:p>
    <w:tbl>
      <w:tblPr>
        <w:tblStyle w:val="4"/>
        <w:tblpPr w:leftFromText="180" w:rightFromText="180" w:vertAnchor="text" w:horzAnchor="margin" w:tblpXSpec="center" w:tblpY="538"/>
        <w:tblW w:w="1489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  <w:gridCol w:w="1294"/>
        <w:gridCol w:w="1406"/>
        <w:gridCol w:w="1155"/>
        <w:gridCol w:w="1159"/>
        <w:gridCol w:w="1376"/>
        <w:gridCol w:w="1418"/>
        <w:gridCol w:w="1297"/>
        <w:gridCol w:w="1335"/>
        <w:gridCol w:w="1642"/>
        <w:gridCol w:w="1004"/>
        <w:gridCol w:w="1019"/>
      </w:tblGrid>
      <w:tr w14:paraId="784DA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7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EDFC8FE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294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E2E7423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教材名称</w:t>
            </w:r>
          </w:p>
        </w:tc>
        <w:tc>
          <w:tcPr>
            <w:tcW w:w="1406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5B26297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对应课程名称</w:t>
            </w:r>
          </w:p>
        </w:tc>
        <w:tc>
          <w:tcPr>
            <w:tcW w:w="369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27724D3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项目负责人相关信息</w:t>
            </w:r>
          </w:p>
        </w:tc>
        <w:tc>
          <w:tcPr>
            <w:tcW w:w="1418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126278C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意向</w:t>
            </w:r>
          </w:p>
          <w:p w14:paraId="7E98131E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出版社</w:t>
            </w:r>
          </w:p>
        </w:tc>
        <w:tc>
          <w:tcPr>
            <w:tcW w:w="1297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6008C69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是否已有相关课程数字资源</w:t>
            </w:r>
          </w:p>
        </w:tc>
        <w:tc>
          <w:tcPr>
            <w:tcW w:w="1335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1F920EE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是否具备相关数字教材平台建设基础</w:t>
            </w:r>
          </w:p>
        </w:tc>
        <w:tc>
          <w:tcPr>
            <w:tcW w:w="3665" w:type="dxa"/>
            <w:gridSpan w:val="3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11DC3E4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原纸质教材信息</w:t>
            </w:r>
          </w:p>
        </w:tc>
      </w:tr>
      <w:tr w14:paraId="04F62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53156F3">
            <w:pPr>
              <w:widowControl/>
              <w:jc w:val="left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398FFB6">
            <w:pPr>
              <w:widowControl/>
              <w:jc w:val="left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ECBCEDA">
            <w:pPr>
              <w:widowControl/>
              <w:jc w:val="left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0617E04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姓名</w:t>
            </w:r>
          </w:p>
        </w:tc>
        <w:tc>
          <w:tcPr>
            <w:tcW w:w="11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6A5DC58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职称</w:t>
            </w:r>
          </w:p>
        </w:tc>
        <w:tc>
          <w:tcPr>
            <w:tcW w:w="13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08DA2F0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是否具有</w:t>
            </w:r>
          </w:p>
          <w:p w14:paraId="64F9FD30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3年及以上相应课程教学经验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5F8BD98">
            <w:pPr>
              <w:widowControl/>
              <w:jc w:val="left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D957CE9">
            <w:pPr>
              <w:widowControl/>
              <w:jc w:val="left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9DFA1A7">
            <w:pPr>
              <w:widowControl/>
              <w:jc w:val="left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6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6B1B062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教材名称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C0E4219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最新出版时间</w:t>
            </w:r>
          </w:p>
        </w:tc>
        <w:tc>
          <w:tcPr>
            <w:tcW w:w="101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1676904"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</w:rPr>
              <w:t>发行量（万册）</w:t>
            </w:r>
          </w:p>
        </w:tc>
      </w:tr>
      <w:tr w14:paraId="2D9F0D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1904E5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CC4E18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4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6B77C8">
            <w:pPr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AED844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0EF353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081DB2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E53EE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sz w:val="24"/>
              </w:rPr>
            </w:pPr>
            <w:r>
              <w:rPr>
                <w:rFonts w:hint="eastAsia" w:ascii="宋体" w:hAnsi="宋体"/>
                <w:color w:val="FF0000"/>
                <w:kern w:val="0"/>
                <w:sz w:val="24"/>
              </w:rPr>
              <w:t>例：高等教育出版社</w:t>
            </w:r>
          </w:p>
        </w:tc>
        <w:tc>
          <w:tcPr>
            <w:tcW w:w="12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CB0A16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55D065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6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955FF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sz w:val="24"/>
              </w:rPr>
            </w:pPr>
            <w:r>
              <w:rPr>
                <w:rFonts w:hint="eastAsia" w:ascii="宋体" w:hAnsi="宋体"/>
                <w:color w:val="FF0000"/>
                <w:kern w:val="0"/>
                <w:sz w:val="24"/>
              </w:rPr>
              <w:t>如没有原教材填“无”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BF44F4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sz w:val="24"/>
              </w:rPr>
            </w:pPr>
            <w:r>
              <w:rPr>
                <w:rFonts w:hint="eastAsia" w:ascii="宋体" w:hAnsi="宋体"/>
                <w:color w:val="FF0000"/>
                <w:kern w:val="0"/>
                <w:sz w:val="24"/>
              </w:rPr>
              <w:t>如没有原教材填“无”</w:t>
            </w:r>
          </w:p>
        </w:tc>
        <w:tc>
          <w:tcPr>
            <w:tcW w:w="101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1AC464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sz w:val="24"/>
              </w:rPr>
            </w:pPr>
            <w:r>
              <w:rPr>
                <w:rFonts w:hint="eastAsia" w:ascii="宋体" w:hAnsi="宋体"/>
                <w:color w:val="FF0000"/>
                <w:kern w:val="0"/>
                <w:sz w:val="24"/>
              </w:rPr>
              <w:t>如没有原教材填“无”</w:t>
            </w:r>
          </w:p>
        </w:tc>
      </w:tr>
      <w:tr w14:paraId="2A6550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374F9D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441B48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4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9C8BAA">
            <w:pPr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0183F0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923ADF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31AF8D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3AE830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kern w:val="0"/>
                <w:sz w:val="24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BE4AD3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38C837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6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E96A44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kern w:val="0"/>
                <w:sz w:val="24"/>
              </w:rPr>
            </w:pP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2D87E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kern w:val="0"/>
                <w:sz w:val="24"/>
              </w:rPr>
            </w:pPr>
          </w:p>
        </w:tc>
        <w:tc>
          <w:tcPr>
            <w:tcW w:w="101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A78F6A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kern w:val="0"/>
                <w:sz w:val="24"/>
              </w:rPr>
            </w:pPr>
          </w:p>
        </w:tc>
      </w:tr>
      <w:tr w14:paraId="3C7B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B1CC7F">
            <w:pPr>
              <w:widowControl/>
              <w:jc w:val="center"/>
              <w:textAlignment w:val="center"/>
              <w:rPr>
                <w:rFonts w:hint="eastAsia"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2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5900CC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40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951819">
            <w:pPr>
              <w:jc w:val="center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0AE67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1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31A8DD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7616DC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11796C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kern w:val="0"/>
                <w:sz w:val="24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568CE5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33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1D5AB1">
            <w:pPr>
              <w:jc w:val="center"/>
              <w:rPr>
                <w:rFonts w:hint="eastAsia" w:ascii="宋体" w:hAnsi="宋体"/>
                <w:color w:val="FF0000"/>
                <w:sz w:val="24"/>
              </w:rPr>
            </w:pPr>
          </w:p>
        </w:tc>
        <w:tc>
          <w:tcPr>
            <w:tcW w:w="164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61A8A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kern w:val="0"/>
                <w:sz w:val="24"/>
              </w:rPr>
            </w:pP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59CC21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kern w:val="0"/>
                <w:sz w:val="24"/>
              </w:rPr>
            </w:pPr>
          </w:p>
        </w:tc>
        <w:tc>
          <w:tcPr>
            <w:tcW w:w="101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3455BF">
            <w:pPr>
              <w:widowControl/>
              <w:jc w:val="center"/>
              <w:textAlignment w:val="center"/>
              <w:rPr>
                <w:rFonts w:hint="eastAsia" w:ascii="宋体" w:hAnsi="宋体"/>
                <w:color w:val="FF0000"/>
                <w:kern w:val="0"/>
                <w:sz w:val="24"/>
              </w:rPr>
            </w:pPr>
          </w:p>
        </w:tc>
      </w:tr>
    </w:tbl>
    <w:p w14:paraId="636CD71B">
      <w:pPr>
        <w:widowControl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 xml:space="preserve">学院名称：（党委公章）                    教材工作小组组长签字：         </w:t>
      </w:r>
    </w:p>
    <w:p w14:paraId="5D4207DA">
      <w:pPr>
        <w:widowControl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77CFCF27">
      <w:pPr>
        <w:widowControl/>
        <w:jc w:val="left"/>
        <w:rPr>
          <w:rFonts w:hint="eastAsia" w:ascii="仿宋_GB2312" w:hAnsi="宋体" w:eastAsia="仿宋_GB2312" w:cs="宋体"/>
          <w:sz w:val="32"/>
          <w:szCs w:val="32"/>
        </w:rPr>
        <w:sectPr>
          <w:pgSz w:w="16838" w:h="11906" w:orient="landscape"/>
          <w:pgMar w:top="1588" w:right="2098" w:bottom="1474" w:left="1985" w:header="851" w:footer="992" w:gutter="0"/>
          <w:pgNumType w:fmt="numberInDash"/>
          <w:cols w:space="720" w:num="1"/>
          <w:docGrid w:type="lines" w:linePitch="312" w:charSpace="0"/>
        </w:sectPr>
      </w:pPr>
    </w:p>
    <w:p w14:paraId="3FFC7D1B">
      <w:pPr>
        <w:widowControl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附件3</w:t>
      </w:r>
    </w:p>
    <w:p w14:paraId="19F360CC">
      <w:pPr>
        <w:spacing w:line="500" w:lineRule="exact"/>
        <w:jc w:val="center"/>
        <w:rPr>
          <w:rFonts w:hint="eastAsia" w:ascii="方正小标宋简体" w:hAnsi="Calibri" w:eastAsia="方正小标宋简体"/>
          <w:sz w:val="44"/>
          <w:szCs w:val="44"/>
        </w:rPr>
      </w:pPr>
      <w:r>
        <w:rPr>
          <w:rFonts w:hint="eastAsia" w:ascii="方正小标宋简体" w:hAnsi="Calibri" w:eastAsia="方正小标宋简体"/>
          <w:sz w:val="44"/>
          <w:szCs w:val="44"/>
        </w:rPr>
        <w:t>2025年</w:t>
      </w:r>
      <w:bookmarkStart w:id="1" w:name="OLE_LINK2"/>
      <w:r>
        <w:rPr>
          <w:rFonts w:hint="eastAsia" w:ascii="方正小标宋简体" w:hAnsi="Calibri" w:eastAsia="方正小标宋简体"/>
          <w:sz w:val="44"/>
          <w:szCs w:val="44"/>
        </w:rPr>
        <w:t>本科数字教材建设立项评审标准</w:t>
      </w:r>
      <w:bookmarkEnd w:id="1"/>
    </w:p>
    <w:p w14:paraId="5C404C16">
      <w:pPr>
        <w:rPr>
          <w:rFonts w:hint="eastAsia" w:ascii="Calibri" w:hAnsi="Calibri"/>
          <w:szCs w:val="21"/>
        </w:rPr>
      </w:pPr>
      <w:r>
        <w:rPr>
          <w:rFonts w:ascii="Calibri" w:hAnsi="Calibri"/>
          <w:szCs w:val="21"/>
        </w:rPr>
        <w:t xml:space="preserve"> </w:t>
      </w:r>
    </w:p>
    <w:tbl>
      <w:tblPr>
        <w:tblStyle w:val="4"/>
        <w:tblW w:w="94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</w:tblPr>
      <w:tblGrid>
        <w:gridCol w:w="1017"/>
        <w:gridCol w:w="1600"/>
        <w:gridCol w:w="2974"/>
        <w:gridCol w:w="2813"/>
        <w:gridCol w:w="1091"/>
      </w:tblGrid>
      <w:tr w14:paraId="7918D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598" w:hRule="atLeast"/>
          <w:jc w:val="center"/>
        </w:trPr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E25AB5">
            <w:pPr>
              <w:widowControl/>
              <w:snapToGrid w:val="0"/>
              <w:jc w:val="center"/>
              <w:textAlignment w:val="center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kern w:val="0"/>
                <w:sz w:val="22"/>
                <w:szCs w:val="22"/>
              </w:rPr>
              <w:t>一级指标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509E11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kern w:val="0"/>
                <w:sz w:val="22"/>
                <w:szCs w:val="22"/>
              </w:rPr>
              <w:t>二级指标</w:t>
            </w:r>
          </w:p>
        </w:tc>
        <w:tc>
          <w:tcPr>
            <w:tcW w:w="5787" w:type="dxa"/>
            <w:gridSpan w:val="2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B8C4B1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kern w:val="0"/>
                <w:sz w:val="22"/>
                <w:szCs w:val="22"/>
              </w:rPr>
              <w:t>评分标准</w:t>
            </w:r>
          </w:p>
        </w:tc>
        <w:tc>
          <w:tcPr>
            <w:tcW w:w="1091" w:type="dxa"/>
            <w:tcBorders>
              <w:top w:val="single" w:color="auto" w:sz="4" w:space="0"/>
              <w:left w:val="nil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E1A6B3C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kern w:val="0"/>
                <w:sz w:val="22"/>
                <w:szCs w:val="22"/>
              </w:rPr>
              <w:t>分项得分</w:t>
            </w:r>
          </w:p>
        </w:tc>
      </w:tr>
      <w:tr w14:paraId="7C616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257" w:hRule="atLeast"/>
          <w:jc w:val="center"/>
        </w:trPr>
        <w:tc>
          <w:tcPr>
            <w:tcW w:w="101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96235A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政治导向</w:t>
            </w:r>
          </w:p>
          <w:p w14:paraId="7D911693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（15分）</w:t>
            </w:r>
          </w:p>
        </w:tc>
        <w:tc>
          <w:tcPr>
            <w:tcW w:w="160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34D40B22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落实党的二十大精神进教材情况</w:t>
            </w:r>
          </w:p>
          <w:p w14:paraId="293E7D41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（15分）</w:t>
            </w:r>
          </w:p>
        </w:tc>
        <w:tc>
          <w:tcPr>
            <w:tcW w:w="297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476E3973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坚持正确的政治导向，融入课程思政，较好地落实党的二十大精神进教材</w:t>
            </w:r>
          </w:p>
          <w:p w14:paraId="7D67A1B6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（8-15分）</w:t>
            </w:r>
          </w:p>
        </w:tc>
        <w:tc>
          <w:tcPr>
            <w:tcW w:w="281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6E767384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坚持正确的政治导向，落实党的二十大精神进教材力度不够</w:t>
            </w:r>
          </w:p>
          <w:p w14:paraId="5A4A0FEF">
            <w:pPr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（0-7分）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6E213B46">
            <w:pPr>
              <w:snapToGrid w:val="0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0DE6E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00" w:hRule="atLeast"/>
          <w:jc w:val="center"/>
        </w:trPr>
        <w:tc>
          <w:tcPr>
            <w:tcW w:w="1017" w:type="dxa"/>
            <w:vMerge w:val="restart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74E9B63A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教材基本情况</w:t>
            </w:r>
          </w:p>
          <w:p w14:paraId="4250F188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（10分）</w:t>
            </w:r>
          </w:p>
        </w:tc>
        <w:tc>
          <w:tcPr>
            <w:tcW w:w="160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0102A43C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教材载体形式</w:t>
            </w:r>
          </w:p>
          <w:p w14:paraId="35BAFED9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（5分）</w:t>
            </w:r>
          </w:p>
        </w:tc>
        <w:tc>
          <w:tcPr>
            <w:tcW w:w="297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2C3B0D37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以信息技术与教育教学深度融合，开发多介质新形态教材、数字教材、智能化云教材等</w:t>
            </w:r>
          </w:p>
          <w:p w14:paraId="7BE6009C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5分</w:t>
            </w:r>
          </w:p>
        </w:tc>
        <w:tc>
          <w:tcPr>
            <w:tcW w:w="281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1E17EAF2">
            <w:pPr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传统纸质教材</w:t>
            </w:r>
          </w:p>
          <w:p w14:paraId="0DB9AAE8">
            <w:pPr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0分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702BB780">
            <w:pPr>
              <w:snapToGrid w:val="0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7757F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717" w:hRule="atLeast"/>
          <w:jc w:val="center"/>
        </w:trPr>
        <w:tc>
          <w:tcPr>
            <w:tcW w:w="1017" w:type="dxa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0FF08375">
            <w:pPr>
              <w:widowControl/>
              <w:jc w:val="left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675877CC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校企合作</w:t>
            </w:r>
          </w:p>
          <w:p w14:paraId="51E81AF7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（5分）</w:t>
            </w:r>
          </w:p>
        </w:tc>
        <w:tc>
          <w:tcPr>
            <w:tcW w:w="297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7274A9E8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与企业行业合作联合编写应用型教材</w:t>
            </w:r>
          </w:p>
          <w:p w14:paraId="5DB60D5F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5分</w:t>
            </w:r>
          </w:p>
        </w:tc>
        <w:tc>
          <w:tcPr>
            <w:tcW w:w="281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112DF7D4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无企业合作编写</w:t>
            </w:r>
          </w:p>
          <w:p w14:paraId="48A24159">
            <w:pPr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0分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1FC034D9">
            <w:pPr>
              <w:snapToGrid w:val="0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11988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196" w:hRule="atLeast"/>
          <w:jc w:val="center"/>
        </w:trPr>
        <w:tc>
          <w:tcPr>
            <w:tcW w:w="10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D25CB0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立项内容（55分）</w:t>
            </w:r>
          </w:p>
        </w:tc>
        <w:tc>
          <w:tcPr>
            <w:tcW w:w="16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12C549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与教学建设结合情况</w:t>
            </w:r>
          </w:p>
          <w:p w14:paraId="29C8E1FA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（20分）</w:t>
            </w:r>
          </w:p>
        </w:tc>
        <w:tc>
          <w:tcPr>
            <w:tcW w:w="29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9464A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与教学建设结合紧密，对促进我校应用型人才培养有重要作用和意义</w:t>
            </w:r>
          </w:p>
          <w:p w14:paraId="41CAA83C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（10-20分）</w:t>
            </w:r>
          </w:p>
        </w:tc>
        <w:tc>
          <w:tcPr>
            <w:tcW w:w="28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235CAA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与教学建设结合不够紧密，对促进我校应用型人才培养有一定的作用和意义</w:t>
            </w:r>
          </w:p>
          <w:p w14:paraId="7BF581C5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（0-10分）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AE9D154">
            <w:pPr>
              <w:snapToGrid w:val="0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0760B0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137" w:hRule="atLeast"/>
          <w:jc w:val="center"/>
        </w:trPr>
        <w:tc>
          <w:tcPr>
            <w:tcW w:w="10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7E3328">
            <w:pPr>
              <w:widowControl/>
              <w:jc w:val="left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5595D1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应用前景</w:t>
            </w:r>
          </w:p>
          <w:p w14:paraId="0967120E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（15分）</w:t>
            </w:r>
          </w:p>
        </w:tc>
        <w:tc>
          <w:tcPr>
            <w:tcW w:w="29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C8064C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对促进我校应用型人才培养或课程体系建设有较大的作用和意义</w:t>
            </w:r>
          </w:p>
          <w:p w14:paraId="04DA4C93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（8-15分）</w:t>
            </w:r>
          </w:p>
        </w:tc>
        <w:tc>
          <w:tcPr>
            <w:tcW w:w="28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FC0303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对促进我校应用型人才培养或课程体系建设作用和意义不大</w:t>
            </w:r>
          </w:p>
          <w:p w14:paraId="6F597333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（0-7分）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D3483A2">
            <w:pPr>
              <w:snapToGrid w:val="0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575E3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224" w:hRule="atLeast"/>
          <w:jc w:val="center"/>
        </w:trPr>
        <w:tc>
          <w:tcPr>
            <w:tcW w:w="10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E641F8">
            <w:pPr>
              <w:widowControl/>
              <w:jc w:val="left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82E11C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特色及创新性</w:t>
            </w:r>
          </w:p>
          <w:p w14:paraId="61457734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（20分）</w:t>
            </w:r>
          </w:p>
        </w:tc>
        <w:tc>
          <w:tcPr>
            <w:tcW w:w="29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A824A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教材内容具有科学性、先进性和适用性，对课程难点和重点的处理有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特色或创新性</w:t>
            </w:r>
          </w:p>
          <w:p w14:paraId="5541E15E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（10-20分）</w:t>
            </w:r>
          </w:p>
        </w:tc>
        <w:tc>
          <w:tcPr>
            <w:tcW w:w="28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8A503F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教材内容具有科学性、先进性一般，无明显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特色或创新性</w:t>
            </w:r>
          </w:p>
          <w:p w14:paraId="67D6D982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（0-10分）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7B782E">
            <w:pPr>
              <w:snapToGrid w:val="0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350BF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076" w:hRule="atLeast"/>
          <w:jc w:val="center"/>
        </w:trPr>
        <w:tc>
          <w:tcPr>
            <w:tcW w:w="101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E06F94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教材编写人员情况（20分）</w:t>
            </w:r>
          </w:p>
        </w:tc>
        <w:tc>
          <w:tcPr>
            <w:tcW w:w="160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433B381F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与本项目相关的工作积累</w:t>
            </w:r>
          </w:p>
          <w:p w14:paraId="4F9DF57D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（10分）</w:t>
            </w:r>
          </w:p>
        </w:tc>
        <w:tc>
          <w:tcPr>
            <w:tcW w:w="297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5039B99D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教材编写人员相关工作经验丰富，研究基</w:t>
            </w:r>
            <w:r>
              <w:rPr>
                <w:rFonts w:hint="eastAsia" w:ascii="宋体" w:hAnsi="宋体"/>
                <w:sz w:val="22"/>
                <w:szCs w:val="22"/>
              </w:rPr>
              <w:t>础好</w:t>
            </w:r>
          </w:p>
          <w:p w14:paraId="6F56EF3E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(5-10分)</w:t>
            </w:r>
          </w:p>
        </w:tc>
        <w:tc>
          <w:tcPr>
            <w:tcW w:w="281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noWrap w:val="0"/>
            <w:vAlign w:val="center"/>
          </w:tcPr>
          <w:p w14:paraId="7D343EA2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教材编写人员有相关工作的积累不足，研究基础一般</w:t>
            </w:r>
          </w:p>
          <w:p w14:paraId="06B1CC99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（0-5分）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 w14:paraId="0452AC73">
            <w:pPr>
              <w:snapToGrid w:val="0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 w14:paraId="4A2D1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57" w:type="dxa"/>
            <w:left w:w="57" w:type="dxa"/>
            <w:bottom w:w="57" w:type="dxa"/>
            <w:right w:w="57" w:type="dxa"/>
          </w:tblCellMar>
        </w:tblPrEx>
        <w:trPr>
          <w:trHeight w:val="1400" w:hRule="atLeast"/>
          <w:jc w:val="center"/>
        </w:trPr>
        <w:tc>
          <w:tcPr>
            <w:tcW w:w="101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C793EA">
            <w:pPr>
              <w:widowControl/>
              <w:jc w:val="left"/>
              <w:rPr>
                <w:rFonts w:ascii="宋体" w:hAnsi="宋体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735B0FF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项目主持人及成员构成</w:t>
            </w:r>
          </w:p>
          <w:p w14:paraId="2BF3801E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（10分）</w:t>
            </w:r>
          </w:p>
        </w:tc>
        <w:tc>
          <w:tcPr>
            <w:tcW w:w="2974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020C8F1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项目主持人有较多的相关研究成果，学术水平高；成员结构合理、研究力</w:t>
            </w:r>
            <w:r>
              <w:rPr>
                <w:rFonts w:hint="eastAsia" w:ascii="宋体" w:hAnsi="宋体"/>
                <w:sz w:val="22"/>
                <w:szCs w:val="22"/>
              </w:rPr>
              <w:t>量强</w:t>
            </w:r>
          </w:p>
          <w:p w14:paraId="4FD2250C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(5-10分)</w:t>
            </w:r>
          </w:p>
        </w:tc>
        <w:tc>
          <w:tcPr>
            <w:tcW w:w="2813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0FD6206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项目主持人相关研究成果、学术水平一般，成员结构基本合理、研究力量一般</w:t>
            </w:r>
          </w:p>
          <w:p w14:paraId="0962DC55">
            <w:pPr>
              <w:widowControl/>
              <w:snapToGrid w:val="0"/>
              <w:jc w:val="center"/>
              <w:textAlignment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kern w:val="0"/>
                <w:sz w:val="22"/>
                <w:szCs w:val="22"/>
              </w:rPr>
              <w:t>（0-5分）</w:t>
            </w:r>
          </w:p>
        </w:tc>
        <w:tc>
          <w:tcPr>
            <w:tcW w:w="1091" w:type="dxa"/>
            <w:tcBorders>
              <w:top w:val="single" w:color="000000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096D4">
            <w:pPr>
              <w:snapToGrid w:val="0"/>
              <w:rPr>
                <w:rFonts w:hint="eastAsia" w:ascii="宋体" w:hAnsi="宋体"/>
                <w:sz w:val="22"/>
                <w:szCs w:val="22"/>
              </w:rPr>
            </w:pPr>
          </w:p>
        </w:tc>
      </w:tr>
    </w:tbl>
    <w:p w14:paraId="54C21F84">
      <w:pPr>
        <w:spacing w:line="50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br w:type="page"/>
      </w:r>
      <w:r>
        <w:rPr>
          <w:rFonts w:hint="eastAsia" w:ascii="黑体" w:hAnsi="黑体" w:eastAsia="黑体"/>
          <w:sz w:val="32"/>
          <w:szCs w:val="32"/>
        </w:rPr>
        <w:t>附件4</w:t>
      </w:r>
    </w:p>
    <w:p w14:paraId="357ABF2C">
      <w:pPr>
        <w:spacing w:line="500" w:lineRule="exact"/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方正小标宋简体" w:hAnsi="Calibri" w:eastAsia="方正小标宋简体"/>
          <w:sz w:val="44"/>
          <w:szCs w:val="44"/>
        </w:rPr>
        <w:t>项目申报系统操作手册</w:t>
      </w:r>
    </w:p>
    <w:p w14:paraId="1BE0A1BE">
      <w:pPr>
        <w:keepNext/>
        <w:keepLines/>
        <w:spacing w:line="415" w:lineRule="auto"/>
        <w:outlineLvl w:val="1"/>
        <w:rPr>
          <w:rFonts w:hint="eastAsia" w:ascii="仿宋_GB2312" w:eastAsia="仿宋_GB2312"/>
          <w:b/>
          <w:bCs/>
          <w:color w:val="333333"/>
          <w:sz w:val="32"/>
          <w:szCs w:val="32"/>
        </w:rPr>
      </w:pPr>
      <w:bookmarkStart w:id="2" w:name="_Toc1202440928"/>
      <w:bookmarkEnd w:id="2"/>
      <w:bookmarkStart w:id="3" w:name="_Toc17687"/>
      <w:r>
        <w:rPr>
          <w:rFonts w:hint="eastAsia" w:ascii="仿宋_GB2312" w:eastAsia="仿宋_GB2312"/>
          <w:b/>
          <w:bCs/>
          <w:color w:val="333333"/>
          <w:sz w:val="32"/>
          <w:szCs w:val="32"/>
        </w:rPr>
        <w:t xml:space="preserve"> </w:t>
      </w:r>
      <w:bookmarkEnd w:id="3"/>
    </w:p>
    <w:p w14:paraId="00BEDB2C">
      <w:pPr>
        <w:keepNext/>
        <w:keepLines/>
        <w:spacing w:line="415" w:lineRule="auto"/>
        <w:outlineLvl w:val="1"/>
        <w:rPr>
          <w:rFonts w:hint="eastAsia" w:ascii="仿宋_GB2312" w:eastAsia="仿宋_GB2312"/>
          <w:b/>
          <w:bCs/>
          <w:color w:val="333333"/>
          <w:sz w:val="32"/>
          <w:szCs w:val="32"/>
        </w:rPr>
      </w:pPr>
      <w:r>
        <w:rPr>
          <w:rFonts w:hint="eastAsia" w:ascii="仿宋_GB2312" w:eastAsia="仿宋_GB2312"/>
          <w:b/>
          <w:bCs/>
          <w:color w:val="333333"/>
          <w:sz w:val="32"/>
          <w:szCs w:val="32"/>
        </w:rPr>
        <w:t>1.登录系统</w:t>
      </w:r>
    </w:p>
    <w:p w14:paraId="3EB41BE0">
      <w:pPr>
        <w:keepNext/>
        <w:keepLines/>
        <w:spacing w:line="415" w:lineRule="auto"/>
        <w:outlineLvl w:val="2"/>
        <w:rPr>
          <w:rFonts w:hint="eastAsia" w:ascii="仿宋_GB2312" w:hAnsi="Calibri" w:eastAsia="仿宋_GB2312"/>
          <w:b/>
          <w:bCs/>
          <w:color w:val="333333"/>
          <w:sz w:val="32"/>
          <w:szCs w:val="32"/>
        </w:rPr>
      </w:pPr>
      <w:bookmarkStart w:id="4" w:name="_Toc1603558626"/>
      <w:bookmarkEnd w:id="4"/>
      <w:r>
        <w:rPr>
          <w:rFonts w:hint="eastAsia" w:ascii="仿宋_GB2312" w:hAnsi="Calibri" w:eastAsia="仿宋_GB2312"/>
          <w:b/>
          <w:bCs/>
          <w:color w:val="333333"/>
          <w:sz w:val="32"/>
          <w:szCs w:val="32"/>
        </w:rPr>
        <w:t>1.1手机端安装登录绑定单位流程</w:t>
      </w:r>
    </w:p>
    <w:p w14:paraId="726950B6">
      <w:pPr>
        <w:spacing w:line="560" w:lineRule="exact"/>
        <w:ind w:firstLine="640" w:firstLineChars="200"/>
        <w:rPr>
          <w:rFonts w:hint="eastAsia" w:ascii="仿宋_GB2312" w:hAnsi="Calibri" w:eastAsia="仿宋_GB2312"/>
          <w:color w:val="333333"/>
          <w:sz w:val="32"/>
          <w:szCs w:val="32"/>
        </w:rPr>
      </w:pPr>
      <w:r>
        <w:rPr>
          <w:rFonts w:hint="eastAsia" w:ascii="仿宋_GB2312" w:hAnsi="Calibri" w:eastAsia="仿宋_GB2312"/>
          <w:color w:val="333333"/>
          <w:sz w:val="32"/>
          <w:szCs w:val="32"/>
        </w:rPr>
        <w:t xml:space="preserve">（一）下载安装 </w:t>
      </w:r>
    </w:p>
    <w:p w14:paraId="6ABC2B67">
      <w:pPr>
        <w:spacing w:line="560" w:lineRule="exact"/>
        <w:ind w:firstLine="640" w:firstLineChars="200"/>
        <w:rPr>
          <w:rFonts w:hint="eastAsia" w:ascii="仿宋_GB2312" w:hAnsi="Calibri" w:eastAsia="仿宋_GB2312"/>
          <w:color w:val="333333"/>
          <w:sz w:val="32"/>
          <w:szCs w:val="32"/>
        </w:rPr>
      </w:pPr>
      <w:r>
        <w:rPr>
          <w:rFonts w:hint="eastAsia" w:ascii="仿宋_GB2312" w:hAnsi="Calibri" w:eastAsia="仿宋_GB2312"/>
          <w:color w:val="333333"/>
          <w:sz w:val="32"/>
          <w:szCs w:val="32"/>
        </w:rPr>
        <w:t>目前，超星学习通支持 Android 和 iOS 两大移动操作系统。下载安装超星学习通前，请确定您的设备符合系统要求。您可以通过应用市场等途径下载安装超星学习通。</w:t>
      </w:r>
    </w:p>
    <w:p w14:paraId="1C22FDF2">
      <w:pPr>
        <w:spacing w:line="560" w:lineRule="exact"/>
        <w:ind w:firstLine="640" w:firstLineChars="200"/>
        <w:rPr>
          <w:rFonts w:hint="eastAsia" w:ascii="仿宋_GB2312" w:hAnsi="Calibri" w:eastAsia="仿宋_GB2312"/>
          <w:color w:val="333333"/>
          <w:sz w:val="32"/>
          <w:szCs w:val="32"/>
        </w:rPr>
      </w:pPr>
      <w:r>
        <w:rPr>
          <w:rFonts w:hint="eastAsia" w:ascii="仿宋_GB2312" w:hAnsi="Calibri" w:eastAsia="仿宋_GB2312"/>
          <w:color w:val="333333"/>
          <w:sz w:val="32"/>
          <w:szCs w:val="32"/>
        </w:rPr>
        <w:t xml:space="preserve">（二）注册登录 </w:t>
      </w:r>
    </w:p>
    <w:p w14:paraId="3239AE5C">
      <w:pPr>
        <w:spacing w:line="560" w:lineRule="exact"/>
        <w:ind w:firstLine="640" w:firstLineChars="200"/>
        <w:rPr>
          <w:rFonts w:hint="eastAsia" w:ascii="仿宋_GB2312" w:hAnsi="Calibri" w:eastAsia="仿宋_GB2312"/>
          <w:color w:val="333333"/>
          <w:sz w:val="32"/>
          <w:szCs w:val="32"/>
        </w:rPr>
      </w:pPr>
      <w:r>
        <w:rPr>
          <w:rFonts w:hint="eastAsia" w:ascii="仿宋_GB2312" w:hAnsi="Calibri" w:eastAsia="仿宋_GB2312"/>
          <w:color w:val="333333"/>
          <w:sz w:val="32"/>
          <w:szCs w:val="32"/>
        </w:rPr>
        <w:t>打开安装好的学习通 App，进入如下图的登录界面，点击“新用户注册”进行学习 通注册登录。</w:t>
      </w:r>
    </w:p>
    <w:p w14:paraId="02C595DF">
      <w:pPr>
        <w:jc w:val="center"/>
        <w:rPr>
          <w:rFonts w:hint="eastAsia" w:ascii="Calibri" w:hAnsi="Calibri"/>
          <w:szCs w:val="21"/>
        </w:rPr>
      </w:pPr>
      <w:r>
        <w:rPr>
          <w:rFonts w:ascii="Calibri" w:hAnsi="Calibri"/>
          <w:szCs w:val="21"/>
        </w:rPr>
        <w:drawing>
          <wp:inline distT="0" distB="0" distL="114300" distR="114300">
            <wp:extent cx="3434715" cy="2876550"/>
            <wp:effectExtent l="0" t="0" r="698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Cs w:val="21"/>
        </w:rPr>
        <w:t xml:space="preserve"> </w:t>
      </w:r>
    </w:p>
    <w:p w14:paraId="2649A5F2">
      <w:pPr>
        <w:spacing w:line="560" w:lineRule="exact"/>
        <w:ind w:firstLine="640" w:firstLineChars="200"/>
        <w:rPr>
          <w:rFonts w:ascii="仿宋_GB2312" w:hAnsi="Calibri" w:eastAsia="仿宋_GB2312"/>
          <w:color w:val="333333"/>
          <w:sz w:val="32"/>
          <w:szCs w:val="32"/>
        </w:rPr>
      </w:pPr>
      <w:r>
        <w:rPr>
          <w:rFonts w:hint="eastAsia" w:ascii="仿宋_GB2312" w:hAnsi="Calibri" w:eastAsia="仿宋_GB2312"/>
          <w:color w:val="333333"/>
          <w:sz w:val="32"/>
          <w:szCs w:val="32"/>
        </w:rPr>
        <w:t>温馨提示：使用个人手机号实名制注册登录，按照提示设置密码，并绑定个人单位及教工号，登录成功之后点击个人头像处进行“单位”和“工号”确认。</w:t>
      </w:r>
    </w:p>
    <w:p w14:paraId="5DD2B87E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绑定单位方式：</w:t>
      </w:r>
    </w:p>
    <w:p w14:paraId="3A3F9E30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1.从未下载过学习通，手机号实名制注册后，直接绑定单位，</w:t>
      </w:r>
    </w:p>
    <w:p w14:paraId="4D6CF8DD">
      <w:pPr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输入单位UC码：2291，再输入教务系统教师的6位工号。</w:t>
      </w:r>
    </w:p>
    <w:p w14:paraId="52763D51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2.已经下载过学习通，可以直接登录，绑定单位方式：</w:t>
      </w:r>
    </w:p>
    <w:p w14:paraId="0760F9C6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我的——点击个人头像——绑定单位——添加单位——输入单位UC码：2291（下拉选中“闽江学院”），在输入教务系统教师的6位工号</w:t>
      </w:r>
    </w:p>
    <w:p w14:paraId="10B73EF8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备注：如若遇到账号问题（手机号注册时未实名，手机号绑定其他单位等无法绑定问题，请联系项目管理老师），需要老师提供姓名、手机号、工号等信息。</w:t>
      </w:r>
    </w:p>
    <w:p w14:paraId="65EAA0E0">
      <w:pPr>
        <w:jc w:val="center"/>
        <w:rPr>
          <w:rFonts w:hint="eastAsia" w:ascii="Calibri" w:hAnsi="Calibri"/>
          <w:szCs w:val="21"/>
        </w:rPr>
      </w:pPr>
      <w:r>
        <w:rPr>
          <w:rFonts w:ascii="Calibri" w:hAnsi="Calibri"/>
          <w:szCs w:val="21"/>
        </w:rPr>
        <w:drawing>
          <wp:inline distT="0" distB="0" distL="114300" distR="114300">
            <wp:extent cx="6038850" cy="3422650"/>
            <wp:effectExtent l="0" t="0" r="635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Cs w:val="21"/>
        </w:rPr>
        <w:t xml:space="preserve"> </w:t>
      </w:r>
    </w:p>
    <w:p w14:paraId="767B9A5F">
      <w:pPr>
        <w:keepNext/>
        <w:keepLines/>
        <w:spacing w:line="415" w:lineRule="auto"/>
        <w:outlineLvl w:val="2"/>
        <w:rPr>
          <w:rFonts w:ascii="仿宋_GB2312" w:hAnsi="Calibri" w:eastAsia="仿宋_GB2312"/>
          <w:b/>
          <w:bCs/>
          <w:sz w:val="32"/>
          <w:szCs w:val="32"/>
        </w:rPr>
      </w:pPr>
      <w:bookmarkStart w:id="5" w:name="_Toc90057332"/>
      <w:bookmarkEnd w:id="5"/>
      <w:r>
        <w:rPr>
          <w:rFonts w:hint="eastAsia" w:ascii="仿宋_GB2312" w:hAnsi="Calibri" w:eastAsia="仿宋_GB2312"/>
          <w:b/>
          <w:bCs/>
          <w:sz w:val="32"/>
          <w:szCs w:val="32"/>
        </w:rPr>
        <w:t>1.2电脑端登录操作</w:t>
      </w:r>
    </w:p>
    <w:p w14:paraId="4CB4228E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搜索学校的网址：</w:t>
      </w:r>
      <w:r>
        <w:rPr>
          <w:rFonts w:ascii="Calibri" w:hAnsi="Calibri" w:eastAsia="仿宋_GB2312"/>
          <w:sz w:val="32"/>
          <w:szCs w:val="32"/>
        </w:rPr>
        <w:drawing>
          <wp:inline distT="0" distB="0" distL="114300" distR="114300">
            <wp:extent cx="6350" cy="63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仿宋_GB2312"/>
          <w:sz w:val="32"/>
          <w:szCs w:val="32"/>
        </w:rPr>
        <w:drawing>
          <wp:inline distT="0" distB="0" distL="114300" distR="114300">
            <wp:extent cx="6350" cy="63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仿宋_GB2312"/>
          <w:sz w:val="32"/>
          <w:szCs w:val="32"/>
        </w:rPr>
        <w:fldChar w:fldCharType="begin"/>
      </w:r>
      <w:r>
        <w:rPr>
          <w:rFonts w:ascii="Calibri" w:hAnsi="Calibri" w:eastAsia="仿宋_GB2312"/>
          <w:sz w:val="32"/>
          <w:szCs w:val="32"/>
        </w:rPr>
        <w:instrText xml:space="preserve">HYPERLINK "http://mju.kypt.chaoxing.com/"</w:instrText>
      </w:r>
      <w:r>
        <w:rPr>
          <w:rFonts w:ascii="Calibri" w:hAnsi="Calibri" w:eastAsia="仿宋_GB2312"/>
          <w:sz w:val="32"/>
          <w:szCs w:val="32"/>
        </w:rPr>
        <w:fldChar w:fldCharType="separate"/>
      </w:r>
      <w:r>
        <w:rPr>
          <w:rFonts w:hint="eastAsia" w:ascii="仿宋_GB2312" w:hAnsi="Calibri" w:eastAsia="仿宋_GB2312"/>
          <w:color w:val="0000FF"/>
          <w:sz w:val="32"/>
          <w:szCs w:val="32"/>
          <w:u w:val="single"/>
        </w:rPr>
        <w:t>mju.kypt.chaoxing.com</w:t>
      </w:r>
      <w:r>
        <w:rPr>
          <w:rFonts w:ascii="Calibri" w:hAnsi="Calibri" w:eastAsia="仿宋_GB2312"/>
          <w:sz w:val="32"/>
          <w:szCs w:val="32"/>
        </w:rPr>
        <w:fldChar w:fldCharType="end"/>
      </w:r>
    </w:p>
    <w:p w14:paraId="13C183E2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在主页右上方点击登录跳转至登录界面</w:t>
      </w:r>
    </w:p>
    <w:p w14:paraId="10E2B3B0">
      <w:pPr>
        <w:jc w:val="center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/>
          <w:szCs w:val="21"/>
        </w:rPr>
        <w:drawing>
          <wp:inline distT="0" distB="0" distL="114300" distR="114300">
            <wp:extent cx="5322570" cy="2736215"/>
            <wp:effectExtent l="0" t="0" r="1143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D61A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学习通已经绑定单位，直接用手机号、密码登录；或直接用学习通首页——右上方“扫一扫”右侧二维码直接登录系统。</w:t>
      </w:r>
    </w:p>
    <w:p w14:paraId="36CC5628">
      <w:pPr>
        <w:ind w:firstLine="42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/>
          <w:szCs w:val="21"/>
        </w:rPr>
        <w:drawing>
          <wp:inline distT="0" distB="0" distL="114300" distR="114300">
            <wp:extent cx="5265420" cy="2481580"/>
            <wp:effectExtent l="0" t="0" r="5080" b="762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4CC0B1A6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点击工作台，可以跳转至教师工作平台</w:t>
      </w:r>
    </w:p>
    <w:p w14:paraId="1784348B">
      <w:pPr>
        <w:jc w:val="center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/>
          <w:szCs w:val="21"/>
        </w:rPr>
        <w:drawing>
          <wp:inline distT="0" distB="0" distL="114300" distR="114300">
            <wp:extent cx="5304155" cy="2555875"/>
            <wp:effectExtent l="0" t="0" r="4445" b="952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01B2F2AD">
      <w:pPr>
        <w:keepNext/>
        <w:keepLines/>
        <w:autoSpaceDE w:val="0"/>
        <w:spacing w:line="415" w:lineRule="auto"/>
        <w:ind w:firstLine="643" w:firstLineChars="200"/>
        <w:outlineLvl w:val="1"/>
        <w:rPr>
          <w:rFonts w:hint="eastAsia" w:ascii="仿宋_GB2312" w:hAnsi="Cambria" w:eastAsia="仿宋_GB2312"/>
          <w:b/>
          <w:bCs/>
          <w:sz w:val="32"/>
          <w:szCs w:val="32"/>
        </w:rPr>
      </w:pPr>
      <w:bookmarkStart w:id="6" w:name="_Toc1765091436"/>
      <w:bookmarkEnd w:id="6"/>
      <w:bookmarkStart w:id="7" w:name="_Toc15086"/>
      <w:r>
        <w:rPr>
          <w:rFonts w:hint="eastAsia" w:ascii="仿宋_GB2312" w:hAnsi="Cambria" w:eastAsia="仿宋_GB2312"/>
          <w:b/>
          <w:bCs/>
          <w:sz w:val="32"/>
          <w:szCs w:val="32"/>
        </w:rPr>
        <w:t>2</w:t>
      </w:r>
      <w:bookmarkEnd w:id="7"/>
      <w:r>
        <w:rPr>
          <w:rFonts w:hint="eastAsia" w:ascii="仿宋_GB2312" w:hAnsi="Cambria" w:eastAsia="仿宋_GB2312"/>
          <w:b/>
          <w:bCs/>
          <w:sz w:val="32"/>
          <w:szCs w:val="32"/>
        </w:rPr>
        <w:t>.进入工作台</w:t>
      </w:r>
    </w:p>
    <w:p w14:paraId="0C07BD45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登陆后点击工作台按钮进入工作台模块</w:t>
      </w:r>
    </w:p>
    <w:p w14:paraId="3B92DFD0">
      <w:pPr>
        <w:jc w:val="center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/>
          <w:szCs w:val="21"/>
        </w:rPr>
        <w:drawing>
          <wp:inline distT="0" distB="0" distL="114300" distR="114300">
            <wp:extent cx="5265420" cy="3187700"/>
            <wp:effectExtent l="0" t="0" r="508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3CD05E83">
      <w:pPr>
        <w:keepNext/>
        <w:keepLines/>
        <w:spacing w:line="415" w:lineRule="auto"/>
        <w:ind w:firstLine="643" w:firstLineChars="200"/>
        <w:outlineLvl w:val="1"/>
        <w:rPr>
          <w:rFonts w:hint="eastAsia" w:ascii="仿宋_GB2312" w:hAnsi="Cambria" w:eastAsia="仿宋_GB2312"/>
          <w:b/>
          <w:bCs/>
          <w:sz w:val="32"/>
          <w:szCs w:val="32"/>
        </w:rPr>
      </w:pPr>
      <w:bookmarkStart w:id="8" w:name="_Toc552665194"/>
      <w:bookmarkEnd w:id="8"/>
      <w:bookmarkStart w:id="9" w:name="_Toc16676"/>
      <w:r>
        <w:rPr>
          <w:rFonts w:hint="eastAsia" w:ascii="仿宋_GB2312" w:hAnsi="Cambria" w:eastAsia="仿宋_GB2312"/>
          <w:b/>
          <w:bCs/>
          <w:sz w:val="32"/>
          <w:szCs w:val="32"/>
        </w:rPr>
        <w:t>3</w:t>
      </w:r>
      <w:bookmarkEnd w:id="9"/>
      <w:r>
        <w:rPr>
          <w:rFonts w:hint="eastAsia" w:ascii="仿宋_GB2312" w:hAnsi="Cambria" w:eastAsia="仿宋_GB2312"/>
          <w:b/>
          <w:bCs/>
          <w:sz w:val="32"/>
          <w:szCs w:val="32"/>
        </w:rPr>
        <w:t>.在线申报</w:t>
      </w:r>
    </w:p>
    <w:p w14:paraId="33BE6FC6">
      <w:pPr>
        <w:ind w:left="360"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进入工作台默认进入我的项目模块，点击“在线申报”进入在线申报模块</w:t>
      </w:r>
    </w:p>
    <w:p w14:paraId="062E178D">
      <w:pPr>
        <w:jc w:val="center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 w:eastAsia="仿宋_GB2312"/>
          <w:sz w:val="32"/>
          <w:szCs w:val="32"/>
        </w:rPr>
        <w:drawing>
          <wp:inline distT="0" distB="0" distL="114300" distR="114300">
            <wp:extent cx="5265420" cy="3225800"/>
            <wp:effectExtent l="0" t="0" r="508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7F23D17F">
      <w:pPr>
        <w:jc w:val="center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 w:eastAsia="仿宋_GB2312"/>
          <w:sz w:val="32"/>
          <w:szCs w:val="32"/>
        </w:rPr>
        <w:drawing>
          <wp:inline distT="0" distB="0" distL="114300" distR="114300">
            <wp:extent cx="5312410" cy="2447925"/>
            <wp:effectExtent l="0" t="0" r="8890" b="31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1C3ACEA3">
      <w:pPr>
        <w:ind w:left="360" w:firstLine="640" w:firstLineChars="200"/>
        <w:rPr>
          <w:rFonts w:hint="eastAsia" w:ascii="仿宋_GB2312" w:hAnsi="Calibri" w:eastAsia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点击我要申报，按照要求录入项目</w:t>
      </w:r>
      <w:r>
        <w:rPr>
          <w:rFonts w:hint="eastAsia" w:ascii="仿宋_GB2312" w:hAnsi="Calibri" w:eastAsia="仿宋_GB2312"/>
          <w:color w:val="000000"/>
          <w:sz w:val="32"/>
          <w:szCs w:val="32"/>
        </w:rPr>
        <w:t>相关信息即可</w:t>
      </w:r>
    </w:p>
    <w:p w14:paraId="7064FF0C">
      <w:pPr>
        <w:jc w:val="center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 w:eastAsia="仿宋_GB2312"/>
          <w:sz w:val="32"/>
          <w:szCs w:val="32"/>
        </w:rPr>
        <w:drawing>
          <wp:inline distT="0" distB="0" distL="114300" distR="114300">
            <wp:extent cx="5219700" cy="3549015"/>
            <wp:effectExtent l="0" t="0" r="0" b="698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42D5C140">
      <w:pPr>
        <w:jc w:val="center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 w:eastAsia="仿宋_GB2312"/>
          <w:sz w:val="32"/>
          <w:szCs w:val="32"/>
        </w:rPr>
        <w:drawing>
          <wp:inline distT="0" distB="0" distL="114300" distR="114300">
            <wp:extent cx="5227320" cy="3848100"/>
            <wp:effectExtent l="0" t="0" r="508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0AEC95B1">
      <w:pPr>
        <w:jc w:val="center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 w:eastAsia="仿宋_GB2312"/>
          <w:sz w:val="32"/>
          <w:szCs w:val="32"/>
        </w:rPr>
        <w:drawing>
          <wp:inline distT="0" distB="0" distL="114300" distR="114300">
            <wp:extent cx="4660900" cy="2902585"/>
            <wp:effectExtent l="0" t="0" r="0" b="571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1E83AB1B">
      <w:pPr>
        <w:ind w:left="360"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添加其他成员可以添加系统中没有的教师，只需正确填写</w:t>
      </w:r>
    </w:p>
    <w:p w14:paraId="3FCDF814">
      <w:pPr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姓名，单位，职位即可。</w:t>
      </w:r>
    </w:p>
    <w:p w14:paraId="4C10A1CD">
      <w:pPr>
        <w:jc w:val="center"/>
        <w:rPr>
          <w:rFonts w:hint="eastAsia" w:ascii="仿宋_GB2312" w:hAnsi="Calibri" w:eastAsia="仿宋_GB2312"/>
          <w:sz w:val="32"/>
          <w:szCs w:val="32"/>
        </w:rPr>
      </w:pPr>
      <w:r>
        <w:rPr>
          <w:rFonts w:ascii="Calibri" w:hAnsi="Calibri"/>
          <w:szCs w:val="21"/>
        </w:rPr>
        <w:drawing>
          <wp:inline distT="0" distB="0" distL="114300" distR="114300">
            <wp:extent cx="4700270" cy="2915920"/>
            <wp:effectExtent l="0" t="0" r="11430" b="508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7F7592B0">
      <w:pPr>
        <w:ind w:firstLine="640" w:firstLineChars="200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>申报材料可以选择上传申报书（可以上传word，pdf格式）。项目编辑过程可以保存，点击继续申报即可继续编辑。所有资料填写完成后，点击提交就可以将项目提交到评审流程，提交之后无法修改，需要修改请联系项目负责老师。</w:t>
      </w:r>
    </w:p>
    <w:p w14:paraId="0B835C89">
      <w:pPr>
        <w:jc w:val="center"/>
        <w:rPr>
          <w:rFonts w:hint="eastAsia" w:ascii="Calibri" w:hAnsi="Calibri"/>
          <w:szCs w:val="21"/>
        </w:rPr>
      </w:pPr>
      <w:r>
        <w:rPr>
          <w:rFonts w:ascii="Calibri" w:hAnsi="Calibri"/>
          <w:szCs w:val="21"/>
        </w:rPr>
        <w:drawing>
          <wp:inline distT="0" distB="0" distL="114300" distR="114300">
            <wp:extent cx="5265420" cy="609600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085A">
      <w:pPr>
        <w:tabs>
          <w:tab w:val="left" w:pos="5685"/>
        </w:tabs>
        <w:spacing w:line="560" w:lineRule="exact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 xml:space="preserve"> </w:t>
      </w:r>
    </w:p>
    <w:p w14:paraId="55B39DB1">
      <w:pPr>
        <w:tabs>
          <w:tab w:val="left" w:pos="5685"/>
        </w:tabs>
        <w:spacing w:line="560" w:lineRule="exact"/>
        <w:rPr>
          <w:rFonts w:hint="eastAsia"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 xml:space="preserve"> </w:t>
      </w:r>
    </w:p>
    <w:p w14:paraId="615E1702">
      <w:pPr>
        <w:autoSpaceDE w:val="0"/>
        <w:spacing w:line="560" w:lineRule="exact"/>
        <w:rPr>
          <w:rFonts w:hint="eastAsia" w:ascii="仿宋_GB2312" w:hAnsi="Calibri" w:eastAsia="仿宋_GB2312"/>
          <w:sz w:val="32"/>
          <w:szCs w:val="32"/>
        </w:rPr>
      </w:pPr>
      <w:r>
        <w:rPr>
          <w:rFonts w:hint="eastAsia" w:ascii="仿宋_GB2312" w:hAnsi="Calibri" w:eastAsia="仿宋_GB2312"/>
          <w:sz w:val="32"/>
          <w:szCs w:val="32"/>
        </w:rPr>
        <w:t xml:space="preserve"> </w:t>
      </w:r>
    </w:p>
    <w:p w14:paraId="767FC224">
      <w:pPr>
        <w:rPr>
          <w:rFonts w:hint="eastAsia" w:ascii="仿宋_GB2312" w:eastAsia="仿宋_GB2312"/>
          <w:sz w:val="32"/>
          <w:szCs w:val="32"/>
        </w:rPr>
      </w:pPr>
    </w:p>
    <w:p w14:paraId="4727306C">
      <w:pPr>
        <w:spacing w:line="360" w:lineRule="exact"/>
        <w:rPr>
          <w:sz w:val="28"/>
          <w:szCs w:val="28"/>
        </w:rPr>
      </w:pPr>
    </w:p>
    <w:p w14:paraId="41F340A3">
      <w:pPr>
        <w:spacing w:line="360" w:lineRule="exact"/>
        <w:rPr>
          <w:sz w:val="28"/>
          <w:szCs w:val="28"/>
        </w:rPr>
      </w:pPr>
    </w:p>
    <w:p w14:paraId="5202419D">
      <w:pPr>
        <w:spacing w:line="360" w:lineRule="exact"/>
        <w:rPr>
          <w:sz w:val="28"/>
          <w:szCs w:val="28"/>
        </w:rPr>
      </w:pPr>
    </w:p>
    <w:p w14:paraId="2F8B4520">
      <w:pPr>
        <w:spacing w:line="360" w:lineRule="exact"/>
        <w:rPr>
          <w:sz w:val="28"/>
          <w:szCs w:val="28"/>
        </w:rPr>
      </w:pPr>
    </w:p>
    <w:bookmarkEnd w:id="0"/>
    <w:p w14:paraId="740C5753">
      <w:pPr>
        <w:tabs>
          <w:tab w:val="left" w:pos="5685"/>
        </w:tabs>
        <w:spacing w:line="560" w:lineRule="exact"/>
        <w:rPr>
          <w:rFonts w:hint="eastAsia" w:ascii="华文仿宋" w:hAnsi="华文仿宋" w:eastAsia="华文仿宋"/>
          <w:sz w:val="32"/>
          <w:szCs w:val="32"/>
          <w:lang w:eastAsia="zh-CN"/>
        </w:rPr>
      </w:pPr>
    </w:p>
    <w:p w14:paraId="350AC964">
      <w:pPr>
        <w:tabs>
          <w:tab w:val="left" w:pos="5685"/>
        </w:tabs>
        <w:spacing w:line="560" w:lineRule="exact"/>
        <w:rPr>
          <w:rFonts w:ascii="华文仿宋" w:hAnsi="华文仿宋" w:eastAsia="华文仿宋"/>
          <w:sz w:val="32"/>
          <w:szCs w:val="32"/>
        </w:rPr>
      </w:pPr>
    </w:p>
    <w:p w14:paraId="4ED1ED50">
      <w:pPr>
        <w:tabs>
          <w:tab w:val="left" w:pos="5685"/>
        </w:tabs>
        <w:spacing w:line="560" w:lineRule="exact"/>
        <w:rPr>
          <w:rFonts w:ascii="华文仿宋" w:hAnsi="华文仿宋" w:eastAsia="华文仿宋"/>
          <w:sz w:val="32"/>
          <w:szCs w:val="32"/>
        </w:rPr>
      </w:pPr>
    </w:p>
    <w:p w14:paraId="5E9C6D3E">
      <w:pPr>
        <w:tabs>
          <w:tab w:val="left" w:pos="5685"/>
        </w:tabs>
        <w:spacing w:line="560" w:lineRule="exact"/>
        <w:rPr>
          <w:rFonts w:ascii="华文仿宋" w:hAnsi="华文仿宋" w:eastAsia="华文仿宋"/>
          <w:sz w:val="32"/>
          <w:szCs w:val="32"/>
        </w:rPr>
      </w:pPr>
    </w:p>
    <w:p w14:paraId="3D62744D">
      <w:pPr>
        <w:tabs>
          <w:tab w:val="left" w:pos="5685"/>
        </w:tabs>
        <w:spacing w:line="560" w:lineRule="exact"/>
        <w:rPr>
          <w:rFonts w:hint="eastAsia" w:ascii="华文仿宋" w:hAnsi="华文仿宋" w:eastAsia="华文仿宋"/>
          <w:sz w:val="32"/>
          <w:szCs w:val="32"/>
        </w:rPr>
      </w:pPr>
    </w:p>
    <w:p w14:paraId="0ADC116E">
      <w:pPr>
        <w:tabs>
          <w:tab w:val="left" w:pos="5685"/>
        </w:tabs>
        <w:spacing w:line="560" w:lineRule="exact"/>
        <w:rPr>
          <w:rFonts w:hint="eastAsia" w:ascii="华文仿宋" w:hAnsi="华文仿宋" w:eastAsia="华文仿宋"/>
          <w:sz w:val="32"/>
          <w:szCs w:val="32"/>
        </w:rPr>
      </w:pPr>
    </w:p>
    <w:p w14:paraId="4CCBA9C3">
      <w:pPr>
        <w:tabs>
          <w:tab w:val="left" w:pos="5685"/>
        </w:tabs>
        <w:spacing w:line="560" w:lineRule="exact"/>
        <w:rPr>
          <w:rFonts w:hint="eastAsia" w:ascii="华文仿宋" w:hAnsi="华文仿宋" w:eastAsia="华文仿宋"/>
          <w:sz w:val="32"/>
          <w:szCs w:val="32"/>
        </w:rPr>
      </w:pPr>
    </w:p>
    <w:p w14:paraId="7B9D47DB">
      <w:pPr>
        <w:tabs>
          <w:tab w:val="left" w:pos="5685"/>
        </w:tabs>
        <w:spacing w:line="560" w:lineRule="exact"/>
        <w:rPr>
          <w:rFonts w:hint="eastAsia" w:ascii="华文仿宋" w:hAnsi="华文仿宋" w:eastAsia="华文仿宋"/>
          <w:sz w:val="32"/>
          <w:szCs w:val="32"/>
        </w:rPr>
      </w:pPr>
    </w:p>
    <w:tbl>
      <w:tblPr>
        <w:tblStyle w:val="4"/>
        <w:tblpPr w:leftFromText="180" w:rightFromText="180" w:vertAnchor="text" w:horzAnchor="margin" w:tblpXSpec="center" w:tblpY="206"/>
        <w:tblW w:w="0" w:type="auto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7"/>
      </w:tblGrid>
      <w:tr w14:paraId="78CD90BD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47" w:type="dxa"/>
            <w:tcBorders>
              <w:left w:val="nil"/>
              <w:bottom w:val="single" w:color="auto" w:sz="8" w:space="0"/>
              <w:right w:val="nil"/>
            </w:tcBorders>
            <w:shd w:val="clear" w:color="auto" w:fill="auto"/>
          </w:tcPr>
          <w:p w14:paraId="7A621299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 w:ascii="仿宋_GB2312"/>
                <w:spacing w:val="10"/>
                <w:sz w:val="28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</w:rPr>
              <w:t>分送：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  <w:lang w:val="en-US" w:eastAsia="zh-CN"/>
              </w:rPr>
              <w:t>各单位，存档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  <w:tr w14:paraId="09B87B02"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47" w:type="dxa"/>
            <w:tcBorders>
              <w:top w:val="single" w:color="auto" w:sz="8" w:space="0"/>
              <w:left w:val="nil"/>
              <w:right w:val="nil"/>
            </w:tcBorders>
            <w:shd w:val="clear" w:color="auto" w:fill="auto"/>
          </w:tcPr>
          <w:p w14:paraId="60E2F850">
            <w:pPr>
              <w:rPr>
                <w:rFonts w:hint="eastAsia" w:ascii="仿宋_GB2312"/>
                <w:spacing w:val="10"/>
                <w:sz w:val="28"/>
              </w:rPr>
            </w:pPr>
            <w:r>
              <w:rPr>
                <w:rFonts w:hint="eastAsia" w:ascii="仿宋_GB2312"/>
                <w:spacing w:val="10"/>
                <w:sz w:val="28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</w:rPr>
              <w:t>闽江学院教务处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</w:rPr>
              <w:t xml:space="preserve">              20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  <w:lang w:val="en-US" w:eastAsia="zh-CN"/>
              </w:rPr>
              <w:t>25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</w:rPr>
              <w:t>月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  <w:lang w:val="en-US" w:eastAsia="zh-CN"/>
              </w:rPr>
              <w:t>18</w:t>
            </w:r>
            <w:r>
              <w:rPr>
                <w:rFonts w:hint="eastAsia" w:ascii="仿宋_GB2312" w:hAnsi="仿宋_GB2312" w:eastAsia="仿宋_GB2312" w:cs="仿宋_GB2312"/>
                <w:spacing w:val="10"/>
                <w:sz w:val="28"/>
                <w:szCs w:val="28"/>
              </w:rPr>
              <w:t>日印发</w:t>
            </w:r>
          </w:p>
        </w:tc>
      </w:tr>
    </w:tbl>
    <w:p w14:paraId="5B6D33CE">
      <w:pPr>
        <w:tabs>
          <w:tab w:val="left" w:pos="5685"/>
        </w:tabs>
        <w:spacing w:line="560" w:lineRule="exact"/>
        <w:rPr>
          <w:rFonts w:ascii="华文仿宋" w:hAnsi="华文仿宋" w:eastAsia="华文仿宋"/>
          <w:sz w:val="32"/>
          <w:szCs w:val="32"/>
        </w:rPr>
      </w:pPr>
    </w:p>
    <w:sectPr>
      <w:headerReference r:id="rId3" w:type="default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F8B6D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doNotDisplayPageBoundaries w:val="1"/>
  <w:bordersDoNotSurroundHeader w:val="1"/>
  <w:bordersDoNotSurroundFooter w:val="1"/>
  <w:attachedTemplate r:id="rId1"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2MGU3MDdlM2VkZjM4Mjk0YjkxMjA1NmY0Nzc0N2IifQ=="/>
  </w:docVars>
  <w:rsids>
    <w:rsidRoot w:val="00962B9C"/>
    <w:rsid w:val="000C74F4"/>
    <w:rsid w:val="00106812"/>
    <w:rsid w:val="001136BA"/>
    <w:rsid w:val="001218D7"/>
    <w:rsid w:val="00125D82"/>
    <w:rsid w:val="002400C1"/>
    <w:rsid w:val="002840C4"/>
    <w:rsid w:val="00284E3C"/>
    <w:rsid w:val="003905CF"/>
    <w:rsid w:val="0045362A"/>
    <w:rsid w:val="00472982"/>
    <w:rsid w:val="004E610C"/>
    <w:rsid w:val="00515824"/>
    <w:rsid w:val="00587086"/>
    <w:rsid w:val="005D3DEA"/>
    <w:rsid w:val="00622F82"/>
    <w:rsid w:val="00627001"/>
    <w:rsid w:val="00644BEF"/>
    <w:rsid w:val="00680ED5"/>
    <w:rsid w:val="006D5D31"/>
    <w:rsid w:val="006E4CCA"/>
    <w:rsid w:val="00716142"/>
    <w:rsid w:val="0073433B"/>
    <w:rsid w:val="00760A7C"/>
    <w:rsid w:val="007A7E1D"/>
    <w:rsid w:val="007C1BFD"/>
    <w:rsid w:val="007D5BEC"/>
    <w:rsid w:val="00802653"/>
    <w:rsid w:val="00813FD7"/>
    <w:rsid w:val="00826504"/>
    <w:rsid w:val="008411B1"/>
    <w:rsid w:val="008A3BEA"/>
    <w:rsid w:val="008A5D57"/>
    <w:rsid w:val="008E3C9F"/>
    <w:rsid w:val="008E52B2"/>
    <w:rsid w:val="008F711E"/>
    <w:rsid w:val="0091126E"/>
    <w:rsid w:val="00911830"/>
    <w:rsid w:val="00923814"/>
    <w:rsid w:val="009533BD"/>
    <w:rsid w:val="00962B9C"/>
    <w:rsid w:val="00983455"/>
    <w:rsid w:val="009E46CF"/>
    <w:rsid w:val="00A04F62"/>
    <w:rsid w:val="00AF6AF4"/>
    <w:rsid w:val="00B861DB"/>
    <w:rsid w:val="00C0437F"/>
    <w:rsid w:val="00CB0838"/>
    <w:rsid w:val="00D12E19"/>
    <w:rsid w:val="00D135AE"/>
    <w:rsid w:val="00DE66D6"/>
    <w:rsid w:val="00E35125"/>
    <w:rsid w:val="089A7916"/>
    <w:rsid w:val="1F9A27A7"/>
    <w:rsid w:val="1FD62108"/>
    <w:rsid w:val="58571707"/>
    <w:rsid w:val="697A7E9E"/>
    <w:rsid w:val="7A6339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  <w:rPr>
      <w:rFonts w:asciiTheme="minorHAnsi" w:hAnsiTheme="minorHAnsi" w:eastAsiaTheme="minorEastAsia" w:cstheme="minorBidi"/>
    </w:r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4120;&#29992;\&#38397;&#27743;&#23398;&#38498;&#25945;&#21153;&#22788;&#21457;&#25991;&#27169;&#26495;&#65288;18.4.13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1469</Words>
  <Characters>1500</Characters>
  <Lines>33</Lines>
  <Paragraphs>25</Paragraphs>
  <TotalTime>2</TotalTime>
  <ScaleCrop>false</ScaleCrop>
  <LinksUpToDate>false</LinksUpToDate>
  <CharactersWithSpaces>2035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2018-12-06T06:09:00Z</dcterms:created>
  <dc:creator>赖仕贤</dc:creator>
  <cp:lastModifiedBy>一米阳光1380339180</cp:lastModifiedBy>
  <cp:lastPrinted>2017-05-12T06:59:00Z</cp:lastPrinted>
  <dcterms:modified xsi:type="dcterms:W3CDTF">2025-09-01T06:17:38Z</dcterms:modified>
  <dc:title>闽江学院教务处文件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eyJoZGlkIjoiZDMxYTMxNTFlYTE2YTNkYWJjNmMxYzYyOTYwNGE1OGUiLCJ1c2VySWQiOiI1MzQ0NjY2In0=</vt:lpwstr>
  </property>
  <property fmtid="{D5CDD505-2E9C-101B-9397-08002B2CF9AE}" pid="3" name="KSOProductBuildVer">
    <vt:lpwstr>2052-12.1.0.20784</vt:lpwstr>
  </property>
  <property fmtid="{D5CDD505-2E9C-101B-9397-08002B2CF9AE}" pid="4" name="ICV">
    <vt:lpwstr>4112C288C8B1444C8544E6F26F8B142A_13</vt:lpwstr>
  </property>
</Properties>
</file>