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156" w:afterLine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连家船民上岸研究专项课题参考选题方向</w:t>
      </w:r>
      <w:bookmarkEnd w:id="0"/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numPr>
          <w:ilvl w:val="0"/>
          <w:numId w:val="1"/>
        </w:numPr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福建省连家船民历史文化研究</w:t>
      </w:r>
    </w:p>
    <w:p>
      <w:pPr>
        <w:numPr>
          <w:ilvl w:val="0"/>
          <w:numId w:val="1"/>
        </w:numPr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福建连家船民上岸过程研究</w:t>
      </w:r>
    </w:p>
    <w:p>
      <w:pPr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3.福建省连家船民定居乡村全面振兴研究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52EDF"/>
    <w:multiLevelType w:val="singleLevel"/>
    <w:tmpl w:val="DC152E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TkzYmI3OWUwMzI1NDk1ZTg3MTUzNGE4NTRjMDUifQ=="/>
  </w:docVars>
  <w:rsids>
    <w:rsidRoot w:val="03DA7C5B"/>
    <w:rsid w:val="03D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2022-07-07T03:58:00Z</dcterms:created>
  <dc:creator>苏啊Sue</dc:creator>
  <cp:lastModifiedBy>苏啊Sue</cp:lastModifiedBy>
  <dcterms:modified xsi:type="dcterms:W3CDTF">2022-07-07T03:59:21Z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AF65EFE0781943D1B94A38EC9B0A74FA</vt:lpwstr>
  </property>
</Properties>
</file>